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C30" w:rsidRDefault="00E56C30" w:rsidP="009A0D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DD4EC1">
        <w:rPr>
          <w:rFonts w:ascii="Times New Roman" w:hAnsi="Times New Roman"/>
          <w:b/>
          <w:sz w:val="28"/>
          <w:szCs w:val="28"/>
          <w:lang w:eastAsia="ru-RU"/>
        </w:rPr>
        <w:t xml:space="preserve">Колесов П.Ф. Основные тенденции расширения сферы инвестиционной деятельности коммерческих банков. // Гуманитарные научные исследования. – Май, 2012. [Электронный ресурс]. URL: </w:t>
      </w:r>
      <w:hyperlink r:id="rId5" w:history="1">
        <w:r w:rsidRPr="00F96E2E">
          <w:rPr>
            <w:rStyle w:val="Hyperlink"/>
            <w:rFonts w:ascii="Times New Roman" w:hAnsi="Times New Roman"/>
            <w:b/>
            <w:sz w:val="28"/>
            <w:szCs w:val="28"/>
            <w:lang w:eastAsia="ru-RU"/>
          </w:rPr>
          <w:t>http://human.snauka.ru/2012/05/1178</w:t>
        </w:r>
      </w:hyperlink>
    </w:p>
    <w:p w:rsidR="00E56C30" w:rsidRDefault="00E56C30" w:rsidP="009A0D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E56C30" w:rsidRDefault="00E56C30" w:rsidP="009A0D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E56C30" w:rsidRDefault="00E56C30" w:rsidP="009A0D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9A0D71">
        <w:rPr>
          <w:rFonts w:ascii="Times New Roman" w:hAnsi="Times New Roman"/>
          <w:b/>
          <w:sz w:val="28"/>
          <w:szCs w:val="28"/>
          <w:lang w:eastAsia="ru-RU"/>
        </w:rPr>
        <w:t>Основные тенденции расширения сферы инвестиционной деятельности</w:t>
      </w:r>
    </w:p>
    <w:p w:rsidR="00E56C30" w:rsidRPr="009A0D71" w:rsidRDefault="00E56C30" w:rsidP="009A0D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Освоение коммерческими банками инвестиционно-банковской деятельности в России, </w:t>
      </w:r>
      <w:r>
        <w:rPr>
          <w:rFonts w:ascii="Times New Roman" w:hAnsi="Times New Roman"/>
          <w:sz w:val="28"/>
          <w:szCs w:val="28"/>
          <w:lang w:eastAsia="ru-RU"/>
        </w:rPr>
        <w:t>по мнению автора</w:t>
      </w:r>
      <w:r w:rsidRPr="00C07AAF">
        <w:rPr>
          <w:rFonts w:ascii="Times New Roman" w:hAnsi="Times New Roman"/>
          <w:sz w:val="28"/>
          <w:szCs w:val="28"/>
          <w:lang w:eastAsia="ru-RU"/>
        </w:rPr>
        <w:t>, происходило в следующей хронологической последовательности: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 </w:t>
      </w:r>
      <w:smartTag w:uri="urn:schemas-microsoft-com:office:smarttags" w:element="metricconverter">
        <w:smartTagPr>
          <w:attr w:name="ProductID" w:val="1993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1993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>. – проведение операций на рынке государственных ценных бумаг;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Со второй половины </w:t>
      </w:r>
      <w:smartTag w:uri="urn:schemas-microsoft-com:office:smarttags" w:element="metricconverter">
        <w:smartTagPr>
          <w:attr w:name="ProductID" w:val="1999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1999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>. – посредничество в размещении облигационных займов российскими компаниями;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 </w:t>
      </w:r>
      <w:smartTag w:uri="urn:schemas-microsoft-com:office:smarttags" w:element="metricconverter">
        <w:smartTagPr>
          <w:attr w:name="ProductID" w:val="2002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2002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 xml:space="preserve">. посредничество в проведении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IPO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российскими компаниями;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 </w:t>
      </w:r>
      <w:smartTag w:uri="urn:schemas-microsoft-com:office:smarttags" w:element="metricconverter">
        <w:smartTagPr>
          <w:attr w:name="ProductID" w:val="2003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2003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>. посредничество в проведении сделок слияний – поглощений;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 </w:t>
      </w:r>
      <w:smartTag w:uri="urn:schemas-microsoft-com:office:smarttags" w:element="metricconverter">
        <w:smartTagPr>
          <w:attr w:name="ProductID" w:val="2005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2005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>. посредничество в проведении сделок секьюритизации активов.</w:t>
      </w:r>
    </w:p>
    <w:p w:rsidR="00E56C30" w:rsidRPr="00C07AAF" w:rsidRDefault="00E56C30" w:rsidP="007120F2">
      <w:pPr>
        <w:tabs>
          <w:tab w:val="left" w:pos="652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 самого начала рыночных реформ российские коммерческие банки начали активно работать на рынке ценных бумаг, в частности – на рынке ГКО-ОФЗ (с 1993г.). На этом этапе банки активно занялись формированием инфраструктуры фондового рынка, учредив в январе </w:t>
      </w:r>
      <w:smartTag w:uri="urn:schemas-microsoft-com:office:smarttags" w:element="metricconverter">
        <w:smartTagPr>
          <w:attr w:name="ProductID" w:val="1992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1992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 xml:space="preserve">. ММВБ, на которой сейчас сосредоточена практически вся биржевая торговля акциями в России. В рамках биржи шло становление и развитие валютного рынка, рынка ГКО, муниципальных ценных бумаг, рынка корпоративных ценных бумаг, а затем и рынка производных финансовых инструментов. Основу клиентской базы Группы ММВБ на протяжении всего периода развития составляли банки – более 70%, которые в соответствии с законодательством имеют право на совершение операций на всех сегментах биржевого финансового рынка. </w:t>
      </w:r>
    </w:p>
    <w:p w:rsidR="00E56C30" w:rsidRPr="00C07AAF" w:rsidRDefault="00E56C30" w:rsidP="007120F2">
      <w:pPr>
        <w:tabs>
          <w:tab w:val="left" w:pos="652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1996-1997 гг. началось активное привлечение средств на международных финансовых рынках не только банками, но и российскими предприятиями. Заимствования осуществлялись как с помощью капитальных -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ADR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American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Depositary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Receipt</w:t>
      </w:r>
      <w:r w:rsidRPr="00C07AAF">
        <w:rPr>
          <w:rFonts w:ascii="Times New Roman" w:hAnsi="Times New Roman"/>
          <w:sz w:val="28"/>
          <w:szCs w:val="28"/>
          <w:lang w:eastAsia="ru-RU"/>
        </w:rPr>
        <w:t>), так и разнообразных долговых инструментов, привычных для иностранных инвесторов: синдицированные займы, еврооблигации, еврокоммерческие бумаги (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ECP</w:t>
      </w:r>
      <w:r w:rsidRPr="00C07AAF">
        <w:rPr>
          <w:rFonts w:ascii="Times New Roman" w:hAnsi="Times New Roman"/>
          <w:sz w:val="28"/>
          <w:szCs w:val="28"/>
          <w:lang w:eastAsia="ru-RU"/>
        </w:rPr>
        <w:t>).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Когда российские предприятия, особенно средние и небольшие по масштабам бизнеса, по-прежнему остро нуждались в кредитных ресурсах, начали замещать их выпуском долговых обязательств на внутреннем рынке – банки выступили в роли андеррайтеров и организаторов займов, а заодно и сами начали пополнять свои пассивы путем выпуска облигаций.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Стремительное развитие рынка корпоративного долга на кануне кризиса в течение 5 лет подряд привело к формированию довольно значительного и устойчивого круга организаций, оказывающих услуги по размещению займов.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Изучим динамику изменения объема проведенных сделок по организации выпуска облигаций на внутреннем рынке России с 2007 по 2011 годы по данным пяти крупнейших участников данного рынка инвестиционных услуг (таб. 1</w:t>
      </w:r>
      <w:r>
        <w:rPr>
          <w:rFonts w:ascii="Times New Roman" w:hAnsi="Times New Roman"/>
          <w:sz w:val="28"/>
          <w:szCs w:val="28"/>
          <w:lang w:eastAsia="ru-RU"/>
        </w:rPr>
        <w:t>)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07AAF">
        <w:rPr>
          <w:rFonts w:ascii="Times New Roman" w:hAnsi="Times New Roman"/>
          <w:sz w:val="24"/>
          <w:szCs w:val="24"/>
          <w:lang w:eastAsia="ru-RU"/>
        </w:rPr>
        <w:t>Таб.1 Топ - 5 крупнейших участников по организации выпуска облигаций на внутреннем рынке России (по объему проведенных сделок млн. руб.)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34"/>
        <w:gridCol w:w="1526"/>
        <w:gridCol w:w="1526"/>
        <w:gridCol w:w="1528"/>
        <w:gridCol w:w="1528"/>
        <w:gridCol w:w="1529"/>
      </w:tblGrid>
      <w:tr w:rsidR="00E56C30" w:rsidRPr="00C07AAF" w:rsidTr="00FE5011">
        <w:tc>
          <w:tcPr>
            <w:tcW w:w="861" w:type="pct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7" w:type="pct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827" w:type="pct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828" w:type="pct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828" w:type="pct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828" w:type="pct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2011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ВТБ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77,351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67,050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276,863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175,417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233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935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Газпромбанк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60,500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60,600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107,717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89,033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111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477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ИК Тройка Диалог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52,600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46,633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90,646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128,283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198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906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Росбанк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35,981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11,945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24,174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29,126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317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Райффайзенбанк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30,517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45,334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45,183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75,149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667</w:t>
            </w:r>
          </w:p>
        </w:tc>
      </w:tr>
    </w:tbl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По данным таблицы видно незначительное падение объема проведенных сделок в 2008 году, а затем бум данных операций в </w:t>
      </w:r>
      <w:smartTag w:uri="urn:schemas-microsoft-com:office:smarttags" w:element="metricconverter">
        <w:smartTagPr>
          <w:attr w:name="ProductID" w:val="2009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2009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>. Это связано в первую очередь с сжатием кредитного рынка страны в тот период. Необходимо отметить, что привлечь  средства посредством размещения ценных бумаг на фондовом рынке могли позволить себе только первоклассные заемщики. По мере оживления кредитного рынка страны в 2010 году наблюдалось снижением объемов данных операций, но в  2011 году продолжился рост.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Безусловным лидером среди организаторов облигационных займов является ВТБ. В десятку наиболее активных в 2011 году входили ИК Тройка Диалог/Сбербанк,  Райффайзенбанк, Газпромбанк,  УралСиб, Связьбанк, Росбанк, Ренессанс капитал, ВЭБ Капитал, Банк Открытие. Как видно из перечисленных участников – явное преобладание российских банков.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Совсем другая ситуация происходит среди участников организаторов ра</w:t>
      </w:r>
      <w:r>
        <w:rPr>
          <w:rFonts w:ascii="Times New Roman" w:hAnsi="Times New Roman"/>
          <w:sz w:val="28"/>
          <w:szCs w:val="28"/>
          <w:lang w:eastAsia="ru-RU"/>
        </w:rPr>
        <w:t xml:space="preserve">змещения еврооблигаций на рынке.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На лицо явное преимущество зарубежных компаний: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JP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Morgan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BNP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Paribas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City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group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Deutshe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Bank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и др. Наши банки занимают соответственно: ВТБ Капитал-2 место, Ренессанс Капитал -15, Сбербанк / ИК Тройка Диалог-16, Альфа-Банк-17, ВЭБ Капитал-20, Газпромбанк-23 место.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Доля рынка организаторов размещения еврооблигаций на рынке СНГ занимаемых российскими банками  за исключением ВТБ Капитал (13,68%) незначительна.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Организация и обслуживание выпусков облигаций на внутреннем российском рынке – это сегмент инвестиционно-банковской деятельности, где российские банки и инвестиционные компании абсолютно доминируют над иностранными. Это объясняется такими факторами как: знание специфики ведения бизнеса в России и особенностей российского законодательства, более низкие цены на услуги, существенно более низкий уровень затрат организаторов размещения облигаций по сравнению с обслуживанием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IPO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Наработав определенный опыт и кредитную историю в процессе выпуска и погашений облигаций, российские предприятия начали освоение следующего уровня возможностей, которые предоставляет фондовый рынок для привлечения финансирования - публичный выпуск акций.</w:t>
      </w:r>
    </w:p>
    <w:p w:rsidR="00E56C30" w:rsidRPr="00AF7208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2006-2007 гг., наблюдался настоящий бум на рынке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IPO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. В рекордном </w:t>
      </w:r>
      <w:smartTag w:uri="urn:schemas-microsoft-com:office:smarttags" w:element="metricconverter">
        <w:smartTagPr>
          <w:attr w:name="ProductID" w:val="2007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2007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 xml:space="preserve">., когда Россия вышла по его объемам на 4 место среди развивающихся рынков, было привлечено 33,1 млрд. долларов что на 88% больше, чем в </w:t>
      </w:r>
      <w:smartTag w:uri="urn:schemas-microsoft-com:office:smarttags" w:element="metricconverter">
        <w:smartTagPr>
          <w:attr w:name="ProductID" w:val="2006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2006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>.</w:t>
      </w:r>
      <w:r w:rsidRPr="00AF7208">
        <w:rPr>
          <w:rFonts w:ascii="Times New Roman" w:hAnsi="Times New Roman"/>
          <w:sz w:val="28"/>
          <w:szCs w:val="28"/>
          <w:lang w:eastAsia="ru-RU"/>
        </w:rPr>
        <w:t>[1].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Однако к концу </w:t>
      </w:r>
      <w:smartTag w:uri="urn:schemas-microsoft-com:office:smarttags" w:element="metricconverter">
        <w:smartTagPr>
          <w:attr w:name="ProductID" w:val="2008 г"/>
        </w:smartTagPr>
        <w:r w:rsidRPr="00C07AAF">
          <w:rPr>
            <w:rFonts w:ascii="Times New Roman" w:hAnsi="Times New Roman"/>
            <w:sz w:val="28"/>
            <w:szCs w:val="28"/>
            <w:lang w:eastAsia="ru-RU"/>
          </w:rPr>
          <w:t>2008 г</w:t>
        </w:r>
      </w:smartTag>
      <w:r w:rsidRPr="00C07AAF">
        <w:rPr>
          <w:rFonts w:ascii="Times New Roman" w:hAnsi="Times New Roman"/>
          <w:sz w:val="28"/>
          <w:szCs w:val="28"/>
          <w:lang w:eastAsia="ru-RU"/>
        </w:rPr>
        <w:t xml:space="preserve">. на рынке уже вообще никто не работал. Вследствие мирового кризиса ликвидности, высокой волатильности и непредсказуемой динамики фондовых рынков, приведших к снижению активности инвесторов - 2008 год стал рекордным по количеству отмененных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IPO</w:t>
      </w:r>
      <w:r w:rsidRPr="00AF7208">
        <w:rPr>
          <w:rFonts w:ascii="Times New Roman" w:hAnsi="Times New Roman"/>
          <w:sz w:val="28"/>
          <w:szCs w:val="28"/>
          <w:lang w:eastAsia="ru-RU"/>
        </w:rPr>
        <w:t xml:space="preserve"> [2]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Российские компании отказались от 286 первичных размещений на общую сумму 83,3 млрд. долларов, что стало рекордным с 2005 года, а в четвертом квартале 2008 года впервые за последние четыре года не было проведено ни одного IPO.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Изучим динамику изменения объема проведенных сделок  на рынке андеррайтинга на внутреннем рынке России в период с 2007 по 2011 годы (таб.</w:t>
      </w:r>
      <w:r>
        <w:rPr>
          <w:rFonts w:ascii="Times New Roman" w:hAnsi="Times New Roman"/>
          <w:sz w:val="28"/>
          <w:szCs w:val="28"/>
          <w:lang w:eastAsia="ru-RU"/>
        </w:rPr>
        <w:t>2</w:t>
      </w:r>
      <w:r w:rsidRPr="00C07AAF">
        <w:rPr>
          <w:rFonts w:ascii="Times New Roman" w:hAnsi="Times New Roman"/>
          <w:sz w:val="28"/>
          <w:szCs w:val="28"/>
          <w:lang w:eastAsia="ru-RU"/>
        </w:rPr>
        <w:t>).</w:t>
      </w:r>
    </w:p>
    <w:p w:rsidR="00E56C30" w:rsidRPr="000134E5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07AAF">
        <w:rPr>
          <w:rFonts w:ascii="Times New Roman" w:hAnsi="Times New Roman"/>
          <w:sz w:val="24"/>
          <w:szCs w:val="24"/>
          <w:lang w:eastAsia="ru-RU"/>
        </w:rPr>
        <w:t xml:space="preserve">Таб. 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C07AAF">
        <w:rPr>
          <w:rFonts w:ascii="Times New Roman" w:hAnsi="Times New Roman"/>
          <w:sz w:val="24"/>
          <w:szCs w:val="24"/>
          <w:lang w:eastAsia="ru-RU"/>
        </w:rPr>
        <w:t xml:space="preserve"> Топ - 5 крупнейших организаторов андеррайтинга на внутреннем рынке России в период 2007-2011 гг. (по объему проведенных сделок млн. руб.) </w:t>
      </w:r>
      <w:r w:rsidRPr="000134E5">
        <w:rPr>
          <w:rFonts w:ascii="Times New Roman" w:hAnsi="Times New Roman"/>
          <w:sz w:val="24"/>
          <w:szCs w:val="24"/>
          <w:lang w:eastAsia="ru-RU"/>
        </w:rPr>
        <w:t>[174]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34"/>
        <w:gridCol w:w="1526"/>
        <w:gridCol w:w="1526"/>
        <w:gridCol w:w="1528"/>
        <w:gridCol w:w="1528"/>
        <w:gridCol w:w="1529"/>
      </w:tblGrid>
      <w:tr w:rsidR="00E56C30" w:rsidRPr="007858A8" w:rsidTr="00FE5011">
        <w:tc>
          <w:tcPr>
            <w:tcW w:w="861" w:type="pct"/>
          </w:tcPr>
          <w:p w:rsidR="00E56C30" w:rsidRPr="007858A8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27" w:type="pct"/>
          </w:tcPr>
          <w:p w:rsidR="00E56C30" w:rsidRPr="007858A8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858A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827" w:type="pct"/>
          </w:tcPr>
          <w:p w:rsidR="00E56C30" w:rsidRPr="007858A8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858A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828" w:type="pct"/>
          </w:tcPr>
          <w:p w:rsidR="00E56C30" w:rsidRPr="007858A8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858A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828" w:type="pct"/>
          </w:tcPr>
          <w:p w:rsidR="00E56C30" w:rsidRPr="007858A8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858A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828" w:type="pct"/>
          </w:tcPr>
          <w:p w:rsidR="00E56C30" w:rsidRPr="007858A8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858A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2011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ВТБ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55,432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45,678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245,890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125,333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187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294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Газпромбанк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40,170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45,445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99,191</w:t>
            </w:r>
          </w:p>
        </w:tc>
        <w:tc>
          <w:tcPr>
            <w:tcW w:w="828" w:type="pct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pct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ИК Тройка Диалог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25,170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26,314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81,121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107,944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189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012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Росбанк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24,945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10,205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33,543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19,042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533</w:t>
            </w:r>
          </w:p>
        </w:tc>
      </w:tr>
      <w:tr w:rsidR="00E56C30" w:rsidRPr="00C07AAF" w:rsidTr="00FE5011">
        <w:tc>
          <w:tcPr>
            <w:tcW w:w="861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Райффайзенбанк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15,532</w:t>
            </w:r>
          </w:p>
        </w:tc>
        <w:tc>
          <w:tcPr>
            <w:tcW w:w="827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26,418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40,042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62,929</w:t>
            </w:r>
          </w:p>
        </w:tc>
        <w:tc>
          <w:tcPr>
            <w:tcW w:w="828" w:type="pct"/>
          </w:tcPr>
          <w:p w:rsidR="00E56C30" w:rsidRPr="00C07AAF" w:rsidRDefault="00E56C30" w:rsidP="00B166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138</w:t>
            </w:r>
          </w:p>
        </w:tc>
      </w:tr>
    </w:tbl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Так же как и на рынке организаторов выпуска долговых обязательств в 2008 году наблюдался спад, но 2009 год ознаменовался рекордным значением. В 2010 произошло значительное уменьшения объема данных операций, а в 2011наблюдалось дальнейшее увеличение. Данная динамика связана с теми же причинами что и на рынке размещения долговых обязательств рассмотренная выше.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Безусловными лидерами являются Тройка Диалог/Сбербанк, ВТБ Капитал (включая Банк Москвы, Транс Кредит Банк). В десятку наиболее активных в 2011 году входили Райффайзенбанк, Связь-Банк, ВЭБ Капитал, ФК УРАЛСИБ, АКБ РОСБАНК, Ренессанс Капитал, Банк ОТКРЫТИЕ, КБ Ситибанк.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Постоянно растущий спрос на услуги организаторов и андеррайтеров первичных размещений акций и высокий уровень доходов от этой деятельности побудили российские банки и финансовые компании к освоению этого рынка, на котором доминировали иностранные инвестиционные банки. Несмотря на очевидные преимущества иностранцев, имеющих мощную капитальную базу и многолетний опыт проведения подобных операций, российские посредники осваивали его довольно высокими темпами, имея преимущество в знаниях особенностей российского рынка и амбициозный персонал, стремящийся к освоению финансовых инноваций и располагающий соответствующим потенциалом для такого освоения. Так российские банки приобрели необходимый опыт в области инвестиционного банкинга, в том числе в совместных с иностранными банками проектах по организации крупных размещений, при этом среди них в 2011 году на внутреннем российском рынке преобладали российские банки, а среди организаторов и андеррайтеров на рынке СНГ преобладали иностранные компании. </w:t>
      </w:r>
    </w:p>
    <w:p w:rsidR="00E56C30" w:rsidRPr="00AF7208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Существует мнение что, в конечном счете, преимущества, которыми обладают дочки нерезидентов (обслуживание транснациональных корпораций, доступ к международному капиталу, зарубежные технологии и качество и т.д.), приведут к вытеснению на внешнем рынке IPO российских частных банков</w:t>
      </w:r>
      <w:r w:rsidRPr="00AF7208">
        <w:rPr>
          <w:rFonts w:ascii="Times New Roman" w:hAnsi="Times New Roman"/>
          <w:sz w:val="28"/>
          <w:szCs w:val="28"/>
          <w:lang w:eastAsia="ru-RU"/>
        </w:rPr>
        <w:t xml:space="preserve"> [</w:t>
      </w:r>
      <w:r>
        <w:rPr>
          <w:rFonts w:ascii="Times New Roman" w:hAnsi="Times New Roman"/>
          <w:sz w:val="28"/>
          <w:szCs w:val="28"/>
          <w:lang w:eastAsia="ru-RU"/>
        </w:rPr>
        <w:t>3</w:t>
      </w:r>
      <w:r w:rsidRPr="00AF7208">
        <w:rPr>
          <w:rFonts w:ascii="Times New Roman" w:hAnsi="Times New Roman"/>
          <w:sz w:val="28"/>
          <w:szCs w:val="28"/>
          <w:lang w:eastAsia="ru-RU"/>
        </w:rPr>
        <w:t>].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В настоящее время общие тенденции с учетом кризиса и дальнейшей глобализации на рынке организации выпуска долговых обязательств, а также первичного публичного размещения акций следующие: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-начало кризиса связано с сокращением данных операций, но в дальнейшем, в связи существенным снижением кредитных операций, из-за повышенных рисков, крупные  компании стремятся получить финансирование своей деятельности за счет размещения акций и облигаций, как на внутреннем рынке страны, так и за ее пределами;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-наблюдается тенденция увеличения объемов данных операций в посткризисный период и в настоящее время, что указывает на необходимость дальнейшего развития данного направления для коммерческих банков с целью получения дополнительного дохода;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-средние и мелкие банки могут занять нишу только на внутреннем рынке страны (региональный уровень) по небольшим сделкам и только за счет более низкой оплаты за предоставленные услуги, а так же за счет знания российской специфики ведения бизнеса;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-крупные частные банки и банки с государственным участием могут составить конкуренцию зарубежным компаниям на внешнем рынке главным образом за счет использования квалифицированного персонала, в том числе и за счет привлечения зарубежных кадров, а так же за счет приобретённого опыта в прошедший период.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Освоение российскими инвестиционными банками роли консультанта по сделкам слияний и поглощений явилось еще более сложной задачей: крупные компании предпочитали обращаться в таких случаях к иностранным банкам, обладающим соответствующим опытом и финансовыми ресурсами.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Поначалу западные банки работали на российском рынке, даже не имея здесь своих представительств. Затем многие из них стали создавать дочерние структуры либо на базе российских профессиональных участников рынка (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UBS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Deutsche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Bank</w:t>
      </w:r>
      <w:r w:rsidRPr="00C07AAF">
        <w:rPr>
          <w:rFonts w:ascii="Times New Roman" w:hAnsi="Times New Roman"/>
          <w:sz w:val="28"/>
          <w:szCs w:val="28"/>
          <w:lang w:eastAsia="ru-RU"/>
        </w:rPr>
        <w:t>) , либо начиная с нуля (например,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Morgan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Stanley</w:t>
      </w:r>
      <w:r w:rsidRPr="00C07AAF">
        <w:rPr>
          <w:rFonts w:ascii="Times New Roman" w:hAnsi="Times New Roman"/>
          <w:sz w:val="28"/>
          <w:szCs w:val="28"/>
          <w:lang w:eastAsia="ru-RU"/>
        </w:rPr>
        <w:t>). Определенная ниша существовала и для российских банков, поскольку существовал спрос на данный вид услуг со стороны небольших и средних компаний, не имевших достаточных средств для оплаты услуг иностранных банков.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предкризисный период развитие рынка слияний и поглощений отличали такие тенденции как:  динамичный рост объемов рынка на протяжении пяти предкризисных лет (практически в разы); укрупнение сделок; активизация трансграничных сделок как по приобретению российскими компаниями (особенно в металлургической отрасли) иностранных активов, так и российских компаний зарубежными инвесторами.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Особенностью российского рынка, по сравнению с западным, где практически ни одна сделка по слияниям и поглощениям не проходит без участия инвестиционного банка, является значительное количество сделок, осуществляемых без финансовых консультантов, или они привлекаются лишь на заключительной стадии оформления сделки. При этом доля с участием банков сокращается пропорционально уменьшению стоимости сделок.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Финансовый кризис привел к снижению количества и объемов сделок, как на мировом, так и на отечественном рынке. Оценка российского рынка за 2008 год весьма противоречива: если аналитическая группа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</w:t>
      </w:r>
      <w:r w:rsidRPr="00C07AAF">
        <w:rPr>
          <w:rFonts w:ascii="Times New Roman" w:hAnsi="Times New Roman"/>
          <w:sz w:val="28"/>
          <w:szCs w:val="28"/>
          <w:lang w:eastAsia="ru-RU"/>
        </w:rPr>
        <w:t>&amp;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A</w:t>
      </w:r>
      <w:r w:rsidRPr="00C07AAF">
        <w:rPr>
          <w:rFonts w:ascii="Times New Roman" w:hAnsi="Times New Roman"/>
          <w:sz w:val="28"/>
          <w:szCs w:val="28"/>
          <w:lang w:eastAsia="ru-RU"/>
        </w:rPr>
        <w:t>-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Intelligence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журнала  «Слияния и поглощения» заключила, что российский рынок упал на 36,5%,</w:t>
      </w:r>
      <w:r w:rsidRPr="000A18D9">
        <w:rPr>
          <w:rFonts w:ascii="Times New Roman" w:hAnsi="Times New Roman"/>
          <w:sz w:val="28"/>
          <w:szCs w:val="28"/>
          <w:lang w:eastAsia="ru-RU"/>
        </w:rPr>
        <w:t xml:space="preserve"> [</w:t>
      </w:r>
      <w:r>
        <w:rPr>
          <w:rFonts w:ascii="Times New Roman" w:hAnsi="Times New Roman"/>
          <w:sz w:val="28"/>
          <w:szCs w:val="28"/>
          <w:lang w:eastAsia="ru-RU"/>
        </w:rPr>
        <w:t>4</w:t>
      </w:r>
      <w:r w:rsidRPr="000A18D9">
        <w:rPr>
          <w:rFonts w:ascii="Times New Roman" w:hAnsi="Times New Roman"/>
          <w:sz w:val="28"/>
          <w:szCs w:val="28"/>
          <w:lang w:eastAsia="ru-RU"/>
        </w:rPr>
        <w:t>]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то по оценкам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Ernst</w:t>
      </w:r>
      <w:r w:rsidRPr="00C07AAF">
        <w:rPr>
          <w:rFonts w:ascii="Times New Roman" w:hAnsi="Times New Roman"/>
          <w:sz w:val="28"/>
          <w:szCs w:val="28"/>
          <w:lang w:eastAsia="ru-RU"/>
        </w:rPr>
        <w:t>&amp;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Young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он сократился лишь на 9% и составил 120 млрд. долларов. Расхождение объясняется методикой подсчета: группа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</w:t>
      </w:r>
      <w:r w:rsidRPr="00C07AAF">
        <w:rPr>
          <w:rFonts w:ascii="Times New Roman" w:hAnsi="Times New Roman"/>
          <w:sz w:val="28"/>
          <w:szCs w:val="28"/>
          <w:lang w:eastAsia="ru-RU"/>
        </w:rPr>
        <w:t>&amp;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A</w:t>
      </w:r>
      <w:r w:rsidRPr="00C07AAF">
        <w:rPr>
          <w:rFonts w:ascii="Times New Roman" w:hAnsi="Times New Roman"/>
          <w:sz w:val="28"/>
          <w:szCs w:val="28"/>
          <w:lang w:eastAsia="ru-RU"/>
        </w:rPr>
        <w:t>-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Intelligence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учитывает лишь сделки, превышающие 5 млрд. долларов. Следовательно, возросла доля некрупных сделок, что само по себе является положительным фактором. В первом полугодии 2009 года объемы российского рынка упали на 53,4% по сравнению с аналогичным периодом 2008 года</w:t>
      </w:r>
      <w:r w:rsidRPr="000A18D9">
        <w:rPr>
          <w:rFonts w:ascii="Times New Roman" w:hAnsi="Times New Roman"/>
          <w:sz w:val="28"/>
          <w:szCs w:val="28"/>
          <w:lang w:eastAsia="ru-RU"/>
        </w:rPr>
        <w:t xml:space="preserve"> [1]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Кризис негативно сказался на рынке слияний и погашений:</w:t>
      </w:r>
    </w:p>
    <w:p w:rsidR="00E56C30" w:rsidRPr="00C07AAF" w:rsidRDefault="00E56C30" w:rsidP="007120F2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Отменен ряд запланированных сделок либо вследствие финансовых затруднений, либо в силу нежелания совершать их на докризисных условиях.</w:t>
      </w:r>
    </w:p>
    <w:p w:rsidR="00E56C30" w:rsidRPr="00C07AAF" w:rsidRDefault="00E56C30" w:rsidP="007120F2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Изменился формат сделок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</w:t>
      </w:r>
      <w:r w:rsidRPr="00C07AAF">
        <w:rPr>
          <w:rFonts w:ascii="Times New Roman" w:hAnsi="Times New Roman"/>
          <w:sz w:val="28"/>
          <w:szCs w:val="28"/>
          <w:lang w:eastAsia="ru-RU"/>
        </w:rPr>
        <w:t>&amp;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A</w:t>
      </w:r>
      <w:r w:rsidRPr="00C07AAF">
        <w:rPr>
          <w:rFonts w:ascii="Times New Roman" w:hAnsi="Times New Roman"/>
          <w:sz w:val="28"/>
          <w:szCs w:val="28"/>
          <w:lang w:eastAsia="ru-RU"/>
        </w:rPr>
        <w:t>: преобладают приобретения проблемных активов.</w:t>
      </w:r>
    </w:p>
    <w:p w:rsidR="00E56C30" w:rsidRPr="00C07AAF" w:rsidRDefault="00E56C30" w:rsidP="007120F2">
      <w:pPr>
        <w:pStyle w:val="1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Большинство сделок проходит в целях увеличения доли на рынке или выхода на новые рынки.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Резкое падение активности на рынке слияний-поглощений привело к настоящему коллапсу в сентябре 2008 года в данной отрасли инвестиционно-банковского  бизнеса. Рейтинги инвестиционных консультантов по слиянию и поглощениям в России публикуются с 2006 года на сайте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www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mergers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ru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Анализ рейтинговых позиций позволяет сделать вывод о том что, наиболее активными и постоянными участниками рынка инвестиционных консультантов по сделкам слияний и поглощений в течение 2006-2008 гг. на российском рынке были 4 иностранных инвестиционных банка (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UBS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Morgan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Stanley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Credit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Suisse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Merill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Lynch</w:t>
      </w:r>
      <w:r w:rsidRPr="00C07AAF">
        <w:rPr>
          <w:rFonts w:ascii="Times New Roman" w:hAnsi="Times New Roman"/>
          <w:sz w:val="28"/>
          <w:szCs w:val="28"/>
          <w:lang w:eastAsia="ru-RU"/>
        </w:rPr>
        <w:t>) и три российских: Ренессанс Капитал, Тройка Диалог и Альфа-Банк. Из коммерческих банков стабильно присутствовал на рынке только Альфа-Банк. Периодически выходили на него в 2007 г. ВТБ, УралСиб, МДМ-банк, Росбанк, Кит-Финанс, а в 2008 году к ним добавились - Номос-Банк и Райффайзенбанк, банк Открытие. В 2009 -2010 гг. позиции указанных выше компаний менялись, но основной состав остался прежним.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рейтинге Аналитической группы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</w:t>
      </w:r>
      <w:r w:rsidRPr="00C07AAF">
        <w:rPr>
          <w:rFonts w:ascii="Times New Roman" w:hAnsi="Times New Roman"/>
          <w:sz w:val="28"/>
          <w:szCs w:val="28"/>
          <w:lang w:eastAsia="ru-RU"/>
        </w:rPr>
        <w:t>&amp;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A</w:t>
      </w:r>
      <w:r w:rsidRPr="00C07AAF">
        <w:rPr>
          <w:rFonts w:ascii="Times New Roman" w:hAnsi="Times New Roman"/>
          <w:sz w:val="28"/>
          <w:szCs w:val="28"/>
          <w:lang w:eastAsia="ru-RU"/>
        </w:rPr>
        <w:t>-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Intelligence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журнала «Слияния и Поглощения», которые учитывают сделки с контрольными пакетами акций, стоимостью не ниже 5,0 млн. рублей, не смотря на то что первое место занимает ВТБ Капитал с долей 12,9% рынка, лидируют иностранные банки: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Goldman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Sachs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Credit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Suisse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Merrill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Lynch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J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P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Morgan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Deutsche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Bank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  Ренессанс Капитал, Альфа-банк, Тройка Диалог/ Сбербанк  в совокупности занимают небольшую долю рынка - 7%.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На 10 лучших инвестиционных консультантов, сопровождающих сделки с российскими активами приходится 75,3% российского рынка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M</w:t>
      </w:r>
      <w:r w:rsidRPr="00C07AAF">
        <w:rPr>
          <w:rFonts w:ascii="Times New Roman" w:hAnsi="Times New Roman"/>
          <w:sz w:val="28"/>
          <w:szCs w:val="28"/>
          <w:lang w:eastAsia="ru-RU"/>
        </w:rPr>
        <w:t>&amp;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A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по валовому суммарному показателю транзакций, что свидетельствует о формировании стабильного пула консультантов, к которым обращаются владельцы/покупатели крупных активов.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2011 году было отмечено 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>1070 завершенных</w:t>
      </w:r>
      <w:r w:rsidRPr="00C07AA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eastAsia="ru-RU"/>
        </w:rPr>
        <w:t>сделок, что на 20% больше результата 2010 года (табл.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3). Рынок еще далек от количественных значений 2004-2008  гг., но рубеж в 1000 сделок/год уже пройден.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Таблица 3</w:t>
      </w:r>
      <w:r w:rsidRPr="00C07AAF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C07AAF">
        <w:rPr>
          <w:rFonts w:ascii="Times New Roman" w:hAnsi="Times New Roman"/>
          <w:sz w:val="24"/>
          <w:szCs w:val="24"/>
          <w:lang w:eastAsia="ru-RU"/>
        </w:rPr>
        <w:t xml:space="preserve">Данные рынка M&amp;A </w:t>
      </w:r>
      <w:r>
        <w:rPr>
          <w:rFonts w:ascii="Times New Roman" w:hAnsi="Times New Roman"/>
          <w:sz w:val="24"/>
          <w:szCs w:val="24"/>
          <w:lang w:eastAsia="ru-RU"/>
        </w:rPr>
        <w:t xml:space="preserve"> с 2001 по 2011 гг.</w:t>
      </w:r>
    </w:p>
    <w:tbl>
      <w:tblPr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781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 w:rsidR="00E56C30" w:rsidRPr="00C07AAF" w:rsidTr="00FE5011">
        <w:trPr>
          <w:trHeight w:val="116"/>
        </w:trPr>
        <w:tc>
          <w:tcPr>
            <w:tcW w:w="817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Показатели </w:t>
            </w:r>
          </w:p>
        </w:tc>
        <w:tc>
          <w:tcPr>
            <w:tcW w:w="781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2001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2002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2003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2004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2005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2006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2007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2008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2009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2010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2011 </w:t>
            </w:r>
          </w:p>
        </w:tc>
      </w:tr>
      <w:tr w:rsidR="00E56C30" w:rsidRPr="00C07AAF" w:rsidTr="00FE5011">
        <w:trPr>
          <w:trHeight w:val="107"/>
        </w:trPr>
        <w:tc>
          <w:tcPr>
            <w:tcW w:w="817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Количество </w:t>
            </w:r>
          </w:p>
        </w:tc>
        <w:tc>
          <w:tcPr>
            <w:tcW w:w="781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436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540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693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1 228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1 383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1 443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1 367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1 302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769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893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1 070 </w:t>
            </w:r>
          </w:p>
        </w:tc>
      </w:tr>
      <w:tr w:rsidR="00E56C30" w:rsidRPr="00C07AAF" w:rsidTr="00FE5011">
        <w:trPr>
          <w:trHeight w:val="107"/>
        </w:trPr>
        <w:tc>
          <w:tcPr>
            <w:tcW w:w="817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Объем, млн $ </w:t>
            </w:r>
          </w:p>
        </w:tc>
        <w:tc>
          <w:tcPr>
            <w:tcW w:w="781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12.421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18.051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32.350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27.116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60.213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61.948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128.034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116.995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55.648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55.143 </w:t>
            </w:r>
          </w:p>
        </w:tc>
        <w:tc>
          <w:tcPr>
            <w:tcW w:w="799" w:type="dxa"/>
          </w:tcPr>
          <w:p w:rsidR="00E56C30" w:rsidRPr="00C07AAF" w:rsidRDefault="00E56C30" w:rsidP="00B1665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AAF">
              <w:rPr>
                <w:rFonts w:ascii="Times New Roman" w:hAnsi="Times New Roman" w:cs="Times New Roman"/>
              </w:rPr>
              <w:t xml:space="preserve">90.251 </w:t>
            </w:r>
          </w:p>
        </w:tc>
      </w:tr>
    </w:tbl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Стоимостной объем рынка в </w:t>
      </w:r>
      <w:r>
        <w:rPr>
          <w:rFonts w:ascii="Times New Roman" w:hAnsi="Times New Roman"/>
          <w:sz w:val="28"/>
          <w:szCs w:val="28"/>
          <w:lang w:eastAsia="ru-RU"/>
        </w:rPr>
        <w:t xml:space="preserve">2011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году значительно вырос — до уровня 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>$90,3 млрд.</w:t>
      </w:r>
      <w:r w:rsidRPr="00C07AA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(на 64% больше 2010 года). После двукратного падения в 2009г. и последующей стабилизации рынок приблизился к пиковым значениям 2007-2008 г.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Выявленная в 2010 году закономерность рынка в рамках 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 xml:space="preserve">уровней Фибоначчи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сохранилась и по итогам этого года — количество сделок в 2011г. составляет чуть больше 61,8% разницы min-max последних 11 лет.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Средняя стоимость сделок оценивается в 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>$100,4 млн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. что на 40% больше 2010 года. Хотя ежеквартальные данные варьировались в интервале $30-223 млн.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Число сделок с ценой более $100 млн. выросло (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 xml:space="preserve">110 сделок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против 89 в прошлом году), но все еще в меньше данных 2008 года (179 шт.). Более 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 xml:space="preserve">1/5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стоимостного объема рынка приходится всего лишь на три сделки — «Уралкалий-Сильвинит», «Вымпелком-Wind Telecom», «Pepsi-Вимм-Билль-Данн».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Отраслевая активность сделок с точки зрения стоимости не изменилась — лидерами остались телекоммуникации и химия (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 xml:space="preserve">32%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против 40% в 2010г.). Ведущие позиции по количеству сделок занимают телекоммуникации и строительство/девелопмент (28%). Напомним, что в 2010 г. лидировали финансы и строительство/ девеломпент.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Сделки по приобретению 100% и блокирующих пакетов акций преобладают на рынке (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 xml:space="preserve">59%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количества и 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 xml:space="preserve">31%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стоимостного объема против 53% и 30%, соответственно в 2010). Отметим рост интереса к покупкам пакетов 25%-49% и снижение активности сделок по консолидации контроля.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/>
          <w:sz w:val="28"/>
          <w:szCs w:val="28"/>
          <w:lang w:eastAsia="ru-RU"/>
        </w:rPr>
        <w:t>2011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году выросла активность иностранных инвесторов (с 14% до 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 xml:space="preserve">24%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стоимости сделок). В рамках количественных объемов незначительно выросла активность трансграничных сделок (с 16% до </w:t>
      </w:r>
      <w:r w:rsidRPr="00C07AAF">
        <w:rPr>
          <w:rFonts w:ascii="Times New Roman" w:hAnsi="Times New Roman"/>
          <w:bCs/>
          <w:sz w:val="28"/>
          <w:szCs w:val="28"/>
          <w:lang w:eastAsia="ru-RU"/>
        </w:rPr>
        <w:t>19%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).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В настоящее время с учетом кризиса и дальнейшей глобализации экономики на рынке слияний и поглощений России общие тенденции следующие: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-финансовый кризис привел к снижению количества и объемов сделок, на отечественном рынке, но результаты 2010-2011 гг. говорят о положительной возрастающей тенденции развития данного рынка и возможности банков получить дополнительный доход данном сегменте инвестиционно-посреднических услуг.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лидирующие позиции в проведении крупных сделок занимают  иностранные банки, основным конкурентом которых является банк с государственным участием ВТБ.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-российские банки могут конкурировать только в некрупных сделках   регионального уровня.</w:t>
      </w:r>
    </w:p>
    <w:p w:rsidR="00E56C30" w:rsidRPr="000A18D9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-перспективным направлением в связи с ростом данных операций в настоящее время является развитие сделок LBO (leveraged buy-out) — инструмент финансирования операций по слиянию и поглощению, подразумевающий приобретение контрольного пакета акций компании с помощью заемных средств (заемные средства могут составлять до 100% суммы сделки)</w:t>
      </w:r>
      <w:r w:rsidRPr="000A18D9">
        <w:rPr>
          <w:rFonts w:ascii="Times New Roman" w:hAnsi="Times New Roman"/>
          <w:sz w:val="28"/>
          <w:szCs w:val="28"/>
          <w:lang w:eastAsia="ru-RU"/>
        </w:rPr>
        <w:t xml:space="preserve"> [</w:t>
      </w:r>
      <w:r>
        <w:rPr>
          <w:rFonts w:ascii="Times New Roman" w:hAnsi="Times New Roman"/>
          <w:sz w:val="28"/>
          <w:szCs w:val="28"/>
          <w:lang w:eastAsia="ru-RU"/>
        </w:rPr>
        <w:t>5</w:t>
      </w:r>
      <w:r w:rsidRPr="000A18D9">
        <w:rPr>
          <w:rFonts w:ascii="Times New Roman" w:hAnsi="Times New Roman"/>
          <w:sz w:val="28"/>
          <w:szCs w:val="28"/>
          <w:lang w:eastAsia="ru-RU"/>
        </w:rPr>
        <w:t xml:space="preserve">] 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Еще одним перспективным направление инвестиционной деятельности коммерческих банков с учетом глобализации экономики в настоящее время является  «синдицированный кредит».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Как и на другие сегменты инвестиционной деятельности коммерческих банков, кризис оказал негативное влияние на объемы проводимых сделок. Уменьшение выданных синдицированных кредитов крупнейшими организаторами в два раза в 2008 году и в 20 раз в 2009 году по сравнению с 2007 годом можно назвать полным коллапсом. Тем неимение  2010 год закончился ростом в четыре раза по сравнению с 2009 годом, а 2011 год ознаменовался дальнейшим увеличением объемов кредитования.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На лицо преобладание иностранных банков в сегменте выдачи синдицированных кредитов в иностранной валюте до 2010 года. Лучшие показатели у ING Wholesale Banking Лондон,</w:t>
      </w:r>
      <w:r w:rsidRPr="00C07AAF">
        <w:rPr>
          <w:sz w:val="28"/>
          <w:szCs w:val="28"/>
        </w:rPr>
        <w:t xml:space="preserve"> 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Райффайзенбанк (RBI Group), BNP Paribas, Societe Generale, UniCredit ( ЮниКредит Банк,UniCredit Bank AG).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Среди российских банков в этот период постоянными участниками были ВТБ, Сбербанк России, периодически выступали организаторами  Газпромбанк, Банк Москвы, Внешэкономбанк.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таблице </w:t>
      </w:r>
      <w:r>
        <w:rPr>
          <w:rFonts w:ascii="Times New Roman" w:hAnsi="Times New Roman"/>
          <w:sz w:val="28"/>
          <w:szCs w:val="28"/>
          <w:lang w:eastAsia="ru-RU"/>
        </w:rPr>
        <w:t>4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приведены данные о доле рынка занимаемые ТОП -20 организаторов  синдицированных кредитов за 2011 год на рынке СНГ.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07AAF">
        <w:rPr>
          <w:rFonts w:ascii="Times New Roman" w:hAnsi="Times New Roman"/>
          <w:sz w:val="24"/>
          <w:szCs w:val="24"/>
          <w:lang w:eastAsia="ru-RU"/>
        </w:rPr>
        <w:t xml:space="preserve">Таб. 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C07AAF">
        <w:rPr>
          <w:rFonts w:ascii="Times New Roman" w:hAnsi="Times New Roman"/>
          <w:sz w:val="24"/>
          <w:szCs w:val="24"/>
          <w:lang w:eastAsia="ru-RU"/>
        </w:rPr>
        <w:t xml:space="preserve"> Рейтинг организаторов синдицированных кредитов стран СНГ в 2011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89"/>
        <w:gridCol w:w="1193"/>
        <w:gridCol w:w="966"/>
        <w:gridCol w:w="857"/>
        <w:gridCol w:w="898"/>
        <w:gridCol w:w="1000"/>
        <w:gridCol w:w="746"/>
        <w:gridCol w:w="979"/>
        <w:gridCol w:w="1294"/>
        <w:gridCol w:w="949"/>
      </w:tblGrid>
      <w:tr w:rsidR="00E56C30" w:rsidRPr="00C07AAF" w:rsidTr="00FE5011"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ING 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UniCredit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Сбербанк России ОАО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BNP Paribas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SMBC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Bank of Tokyo-Mitsubishi UFJ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HSBC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Citigroup( Citibank)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West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LB</w:t>
            </w:r>
          </w:p>
        </w:tc>
        <w:tc>
          <w:tcPr>
            <w:tcW w:w="958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Nordea</w:t>
            </w:r>
          </w:p>
        </w:tc>
      </w:tr>
      <w:tr w:rsidR="00E56C30" w:rsidRPr="00C07AAF" w:rsidTr="00FE5011"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7.35%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6.87%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6.61%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6.36%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5.49%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5.00%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4.46%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4.21%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4.14%</w:t>
            </w:r>
          </w:p>
        </w:tc>
        <w:tc>
          <w:tcPr>
            <w:tcW w:w="958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3.69%</w:t>
            </w:r>
          </w:p>
        </w:tc>
      </w:tr>
      <w:tr w:rsidR="00E56C30" w:rsidRPr="00C07AAF" w:rsidTr="00FE5011"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RBS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ВТБ ( VTB Bank Deutschland)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Societe Generale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Credit Agricole SA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Deutsche Bank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Bank of America Merrill Lynch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Natixis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Barclays Capital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Commerzbank</w:t>
            </w:r>
          </w:p>
        </w:tc>
        <w:tc>
          <w:tcPr>
            <w:tcW w:w="958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Mizuho Corporate Bank</w:t>
            </w:r>
          </w:p>
        </w:tc>
      </w:tr>
      <w:tr w:rsidR="00E56C30" w:rsidRPr="00C07AAF" w:rsidTr="00FE5011"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3.55%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3.39%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3.38%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3.35%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3.31%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3.16%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3.03%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2.98%</w:t>
            </w:r>
          </w:p>
        </w:tc>
        <w:tc>
          <w:tcPr>
            <w:tcW w:w="957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2.92%</w:t>
            </w:r>
          </w:p>
        </w:tc>
        <w:tc>
          <w:tcPr>
            <w:tcW w:w="958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2.81%</w:t>
            </w:r>
          </w:p>
        </w:tc>
      </w:tr>
    </w:tbl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Следует отметить, что 2011 год ознаменовался  активизацией деятельности российских банков, особенно улучшил позиции свои позиции Сбербанк России – 6,61% доли рынка.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 Необходимо отметить, что на рынке организаторов синдицированного кредитования в российских рублях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объемы значительно уступали кредитованию в долларах  в данном сегменте преобладали российские банки.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В настоящее время с учетом кризиса и дальнейшей глобализации экономики на рынке синдицированного кредитования России общие тенденции следующие: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-наблюдается рост объемов синдицированного кредитования, что указывает на увеличивающиеся потребности клиентов в данной услуге;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-ключевые позиции занимают иностранные банки, конкуренцию им могут составить только крупнейшие банки России, средние и мелкие банки могут найти свою нишу только на региональном уровне, выдачи кредитов в российской валюте;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-20 крупнейших участников синдицированного кредитования  занимают 79,19 % данного рынка;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-существует необходимость разработки схемы увеличения сроков синдицированного кредитования, что увеличит привлекательность данного инструмента для конечных потребителей и станет основой дальнейшего роста объемов данного сегмента банковских услуг.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2004 году российские банки начали проводить сделки по секьюритизации активов: Росбанк привлек 300 млн. долларов через компанию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Russian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International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Card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Finance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S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A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С 2004 по 2007 год включительно были проведены 24 сделки с участием российских оригинаторов на общую сумму 7,6 млрд. долларов</w:t>
      </w:r>
      <w:r w:rsidRPr="000A18D9">
        <w:rPr>
          <w:rFonts w:ascii="Times New Roman" w:hAnsi="Times New Roman"/>
          <w:sz w:val="28"/>
          <w:szCs w:val="28"/>
          <w:lang w:eastAsia="ru-RU"/>
        </w:rPr>
        <w:t xml:space="preserve"> [</w:t>
      </w:r>
      <w:r>
        <w:rPr>
          <w:rFonts w:ascii="Times New Roman" w:hAnsi="Times New Roman"/>
          <w:sz w:val="28"/>
          <w:szCs w:val="28"/>
          <w:lang w:eastAsia="ru-RU"/>
        </w:rPr>
        <w:t>6</w:t>
      </w:r>
      <w:r w:rsidRPr="000A18D9">
        <w:rPr>
          <w:rFonts w:ascii="Times New Roman" w:hAnsi="Times New Roman"/>
          <w:sz w:val="28"/>
          <w:szCs w:val="28"/>
          <w:lang w:eastAsia="ru-RU"/>
        </w:rPr>
        <w:t>]</w:t>
      </w:r>
      <w:r w:rsidRPr="00C07AAF">
        <w:rPr>
          <w:rFonts w:ascii="Times New Roman" w:hAnsi="Times New Roman"/>
          <w:sz w:val="28"/>
          <w:szCs w:val="28"/>
          <w:lang w:eastAsia="ru-RU"/>
        </w:rPr>
        <w:t>. Наибольший объем приходился на секьюритизацию ипотечных кредитов.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Среди организаторов сделок по секьюритизации ("внешняя" (трансграничная) секьюритизация) доминируют иностранные банки.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2006-2008 гг. организаторами выпусков ипотечных ценных бумаг ("внешняя" (трансграничная) секьюритизация) российские банки  Газпромбанк, Кит-Финанс,  Банк ВТБ выступали только в партнерстве с иностранными банками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HSBC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Bank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PLC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, Morgan Stanley, Credit Suisse,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Barclays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Capital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. Банк ВТБ в конце 2008 года выступил самостоятельным организатором.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Несмотря на значительный рост объемов сделок в 2007 году (592 млн. долл. США, 198,3 млн. евро, 9057 млн. руб.) по сравнению с 2006 годом (161 млн. долл. США, 165 млн. евро), кризис ликвидности на европейском долговом рынке в августе 2007 года заставил многие российские банки (ВТБ24, Банк Москвы, Росбанк и некоторые другие) объявить о переносе сделок на 2008 год.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Однако последовавший затем мировой финансовый кризис перечеркнул прогнозы предстоящего бума секьюритизации в России.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Организаторами выпусков ипотечных ценных бумаг ("внутренняя" секьюритизация) в 2006-2011 годах были в основном российские банки ЗАО КБ «Ситибанк, ЗАО "ВТБ Капитал", АКБ "Росбанк" (ОАО), Газпромбанк, ОАО “Банк Москвы”. Кроме них организаторами были и иностранные банки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ЗАО КБ «Ситибанк», "ЮниКредит Банк", ЗАО Райффайзенбанк. При этом наблюдался значительный рост данных операций в 2011 году.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Перспективы рынка секьюритизации в России напрямую зависят не только от состояния мирового финансового рынка, но и от уровня правовой и финансовой защиты всех участников сделки.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Пока в России законодательно обеспечены лишь сделки по секьюритизации ипотечных кредитов - Федеральный закон 2003 г. «Об ипотечных ценных бумагах». Другие виды активов российские банки могут секьюритизировать только за рубежом, однако, таких публичных сделок не было с сентября 2008 г., до этого  объем рынка можно было оценить в 5 млрд. долларов</w:t>
      </w:r>
      <w:r w:rsidRPr="000A18D9">
        <w:rPr>
          <w:rFonts w:ascii="Times New Roman" w:hAnsi="Times New Roman"/>
          <w:sz w:val="28"/>
          <w:szCs w:val="28"/>
          <w:lang w:eastAsia="ru-RU"/>
        </w:rPr>
        <w:t xml:space="preserve"> [</w:t>
      </w:r>
      <w:r>
        <w:rPr>
          <w:rFonts w:ascii="Times New Roman" w:hAnsi="Times New Roman"/>
          <w:sz w:val="28"/>
          <w:szCs w:val="28"/>
          <w:lang w:eastAsia="ru-RU"/>
        </w:rPr>
        <w:t>7</w:t>
      </w:r>
      <w:r w:rsidRPr="000A18D9">
        <w:rPr>
          <w:rFonts w:ascii="Times New Roman" w:hAnsi="Times New Roman"/>
          <w:sz w:val="28"/>
          <w:szCs w:val="28"/>
          <w:lang w:eastAsia="ru-RU"/>
        </w:rPr>
        <w:t>]</w:t>
      </w:r>
      <w:r w:rsidRPr="00C07AAF">
        <w:rPr>
          <w:rFonts w:ascii="Times New Roman" w:hAnsi="Times New Roman"/>
          <w:sz w:val="28"/>
          <w:szCs w:val="28"/>
          <w:lang w:eastAsia="ru-RU"/>
        </w:rPr>
        <w:t>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В настоящее время с учетом кризиса и дальнейшей глобализации экономики на рынке секьюритизации в  России общие тенденции следующие: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-стабилизация российского рынка ипотечного кредитования, способствует наметившемуся росту объемов секьюритизации ипотечных кредитов на внутреннем рынке;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-российские коммерческие банки являются лидерами на данном рынке инвестиционного банкинга;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-необходимо законодательно обеспечить  сделки по секьюритизации не только ипотечных кредитов, но и других видов активов (в перспективе безотзывные депозитные и сберегательные  сертификаты, автокредиты).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Следующим направлением инвестиционно-посреднических услуг являются брокерские операции, проводимые коммерческими банками.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Как и на всех ранее рассмотренных рынках банковских услуг в период кризиса (декабрь 2008 г.) наблюдалось резкое снижение объемов проводимых операций. Но в 2009 и последующих годах наблюдалась положительная динамика  увеличения оборотов по брокерским счетам участников данного рынка, при этом объем рынка увеличился в разы, по сравнению с докризисным уровнем.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Лидерами на данном рынке инвестиционно-посреднических услуг были банки ВТБ-24, Промсвязьбанк, Газпромбанк.  Конкуренцию коммерческим банкам составляли не банковские организации.   Необходимо отметить  значительное увеличение количества коммерческих банков в 2011 году оказывающих данные услуги.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Самым активным кварталом  2011 года стал заключительный IV. За этот период совокупный объем сделок с акциями на ММВБ всех 54 участников рейтинга составил около 8.2 трлн. руб. Таким образом, объем торгов за весь прошлый год превысил отметку в 28.4 трлн. руб. – таков итог рейтинга крупнейших российских брокеров, подготовленного РБК. Рейтинг по данным, полученным с ММВБ и от непосредственных участников.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Крупнейшим брокером России на протяжении последних нескольких лет остается компания «ФИНАМ». По итогам прошлого года объем сделок с акциями на ММВБ (без учета сделок РЕПО) у этой компании превысил 4 трлн. руб. Доля компании «ФИНАМ» в совокупном объеме сделок всех 54 участников находится на уровне 14%.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На втором месте, по итогам 2011 года, не менее стабильный участник рейтинга – новосибирская компания «БКС» с оборотом чуть менее 3.5 трлн. руб., доля от общего объема торгов составляет 12.25%. Впрочем, по активности в 2011 году довольно удачно смотрится и Финансовая компания «ОТКРЫТИЕ», которая явно стремится на вторую позицию. Оборот этого брокера за год не многим меньше «БКС» - 3.4 трлн. руб. (12.04% от общего оборота участников). Более того, в отдельные месяцы ФК «ОТКРЫТИЕ» по стоимостному количеству сделок с акциями на ММВБ обгоняла и компанию «БКС» и многолетнего лидера рейтинга – «ФИНАМ». Правда, это «ускорение» происходило не с самого начала прошлого года.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Четвертое место - за группой компаний «АЛОР» (2.6 трлн. руб.). Этот участник, а, точнее, группа участников, чьи данные консолидированы, последние годы стабильно входит в пятерку, занимая довольно продолжительное время третье место. Так, еще в I квартале прошлого года объем торгов ГК «АЛОР» позволял этому участнику занимать третью строчку, но после резкого роста оборотов у ФК «ОТКРЫТИЕ» пришлось уступить место и сместиться на одну позицию вниз.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И наконец, замыкает пятерку лидеров «Тройка Диалог» с показателем чуть меньше 2.5 трлн. руб. Этот участник также долгие годы стабильно формирует список Топ-5 российских брокеров, не исключением стал и 2011 год.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Стоит отметить, что «Сбербанк России» также входит в список крупнейших брокеров по стоимостному количеству сделок с акциями, занимая 13 место с долей от общего объема торгов всех участников чуть более 2%.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В настоящее время с учетом кризиса и дальнейшей глобализации экономики на рынке брокерских услуг  в  России общие тенденции следующие: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-значительное расширение данной деятельности, как по объемам, так и по количеству участников;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-лидерами данного рынка являются российские банки с небольшой долей конкуренции со стороны зарубежных кредитных организаций и небанковских организаций;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-на данном рынке инвестиционных услуг наравне с крупными банками могут конкурировать как средние, так и мелкие банки регионального уровня.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Существенным дополнением к оказанию брокерских услуг клиентам является депозитарная деятельность коммерческих банков, которая может рассматриваться, как сопутствующая услуга дающая возможность получить дополнительный доход.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Так же как и на другие сегменты  рынка инвестиционных услуг, кризис оказал негативное влияние. Произошло значительное снижение  на 31.12.2008 г.  стоимостного выражения обслуживаемых ценных бумаг по сравнению с началом 2008 г. Безусловно, это было вызвано обвалом котировок обслуживаемых ценных бумаг.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 2009-2011 гг. наблюдалась положительная динамика, как по стоимости контролируемого имущества, количеству обслуживаемых фондов, так и  по рыночной стоимости принятых на обслуживание ценных бумаг депонентов, что указывает на привлекательность данного рынка и возможности получения дополнительных доходов.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На данном сегменте рынка инвестиционных услуг конкурируют как банки, так и специализированные депозитарии, расчетные депозитарии, инвестиционные компании,  т.е. не банковские организации.  Абсолютными лидерами в настоящее время являются: НКО ЗАО "Национальный расчетный депозитарий", ЗАО "Депозитарно-Клиринговая Компания".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Предоставление услуг не только по хранению ценных бумаг, но и обеспечение расчетных и клиринговых операций позволяет им занимать первые места в рейтинге на протяжении длительного периода времени.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Лидерами среди коммерческих банков являются постоянные участники ОАО Газпромбанк, АКБ Росбанк, ОАО ВТБ, Банк Москвы. Так же данные услуги, но в меньшем масштабе оказывали УралСиб, Промсвязьбанк. Конкуренцию российским банкам составляли иностранные банки Райффайзенбанк, ЮниКредит Банк, Дойче Банк.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В настоящее время с учетом кризиса и дальнейшей глобализации экономики на рынке депозитарной деятельности  в  России общие тенденции следующие: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-положительная динамика развития в посткризисный период является индикатором возможности получить дополнительные доходы от предоставления данной услуги.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-основными конкурентами коммерческих банков являются специализированые депозитарии и расчетные депозитарии, иностранные банки  занимают незначительную долю данного рынка.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-осуществление депозитарной деятельности значительно увеличивает количество оборотов по брокерским счетам банка предоставляющего данный вид услуги.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-перспективным направлением является комбинирование депозитарных услуг с расчетными и клиринговыми операциям, которые значительно увеличивают  количество принятых на обслуживание ценных бумаг депонентов.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И еще одним направлением инвестиционно-посреднических услуг является доверительное управление активами.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Общий объём рынка управления капиталом в России с 2007 по 2011 гг. представлен в таб.</w:t>
      </w:r>
      <w:r>
        <w:rPr>
          <w:rFonts w:ascii="Times New Roman" w:hAnsi="Times New Roman"/>
          <w:sz w:val="28"/>
          <w:szCs w:val="28"/>
          <w:lang w:eastAsia="ru-RU"/>
        </w:rPr>
        <w:t xml:space="preserve"> 5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07AAF">
        <w:rPr>
          <w:rFonts w:ascii="Times New Roman" w:hAnsi="Times New Roman"/>
          <w:sz w:val="24"/>
          <w:szCs w:val="24"/>
          <w:lang w:eastAsia="ru-RU"/>
        </w:rPr>
        <w:t xml:space="preserve">Таб. 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C07AAF">
        <w:rPr>
          <w:rFonts w:ascii="Times New Roman" w:hAnsi="Times New Roman"/>
          <w:sz w:val="24"/>
          <w:szCs w:val="24"/>
          <w:lang w:eastAsia="ru-RU"/>
        </w:rPr>
        <w:t xml:space="preserve"> Динамика изменения рынка управления капиталом в России (млн. руб.)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14"/>
        <w:gridCol w:w="1914"/>
        <w:gridCol w:w="1914"/>
        <w:gridCol w:w="1914"/>
        <w:gridCol w:w="1915"/>
      </w:tblGrid>
      <w:tr w:rsidR="00E56C30" w:rsidRPr="00C07AAF" w:rsidTr="00FE5011">
        <w:tc>
          <w:tcPr>
            <w:tcW w:w="1914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1914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1914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1914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915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На 01.10.2011 г.</w:t>
            </w:r>
          </w:p>
        </w:tc>
      </w:tr>
      <w:tr w:rsidR="00E56C30" w:rsidRPr="00C07AAF" w:rsidTr="00FE5011">
        <w:tc>
          <w:tcPr>
            <w:tcW w:w="1914" w:type="dxa"/>
          </w:tcPr>
          <w:p w:rsidR="00E56C30" w:rsidRPr="00C07AAF" w:rsidRDefault="00E56C30" w:rsidP="001749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1 443 428.75</w:t>
            </w:r>
          </w:p>
        </w:tc>
        <w:tc>
          <w:tcPr>
            <w:tcW w:w="1914" w:type="dxa"/>
          </w:tcPr>
          <w:p w:rsidR="00E56C30" w:rsidRPr="00C07AAF" w:rsidRDefault="00E56C30" w:rsidP="00B44F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1 334 950.57</w:t>
            </w:r>
          </w:p>
        </w:tc>
        <w:tc>
          <w:tcPr>
            <w:tcW w:w="1914" w:type="dxa"/>
          </w:tcPr>
          <w:p w:rsidR="00E56C30" w:rsidRPr="00C07AAF" w:rsidRDefault="00E56C30" w:rsidP="00B44F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1 432 582.53</w:t>
            </w:r>
          </w:p>
        </w:tc>
        <w:tc>
          <w:tcPr>
            <w:tcW w:w="1914" w:type="dxa"/>
          </w:tcPr>
          <w:p w:rsidR="00E56C30" w:rsidRPr="00C07AAF" w:rsidRDefault="00E56C30" w:rsidP="00B44F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1 732 224.31</w:t>
            </w:r>
          </w:p>
        </w:tc>
        <w:tc>
          <w:tcPr>
            <w:tcW w:w="1915" w:type="dxa"/>
          </w:tcPr>
          <w:p w:rsidR="00E56C30" w:rsidRPr="00C07AAF" w:rsidRDefault="00E56C30" w:rsidP="00B44F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1 754 238.84</w:t>
            </w:r>
          </w:p>
        </w:tc>
      </w:tr>
    </w:tbl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Из данных таблицы видно снижение показателей в период кризиса в 2008 году и стабильный рост в посткризисный период.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Постоянным лидер на данном сегменте рынка инвестиционных услуг является компания с соответствующим занимаемому положению названием «Лидер» - доля которого за изучаемый период в среднем составляла 20%. Постоянными участниками среди банков были УралСиб, ОТКРЫТИЕ, Газпромбанк, ВТБ. При этом Газпромбанк и УралСиб в последние два года вышли в лидеры по объему средств в управлении. Конкуренция со стороны иностранных компаний незначительна.  По состоянию на 01.10.2011 г. пятнадцать самых активных участников занимали долю равную  88,71% данного рынка.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Впервые с 2007 года совокупный «чистый» приток средств в открытые и интервальные фонды превысил несколько миллиардов рублей. Так, по данным информационного ресурса investfunds, в 2011 году управляющие компании, с учетом «оттока» средств, привлекли порядка 3.5 млрд. руб. Впрочем, данный результат был обеспечен существенно меньшим количество управляющих. Из 115 Управляющих компаний, принимающих участие в рейтинге, выйти в плюс по итогам года смогли 43, фонды остальных 72 за год потеряли больше, чем смогли привлечь.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Первое место в рейтинге самых популярных управляющих компаний по итогам 2011 года занимает «Райффайзен Капитал» с показателем чуть более 3 млрд. руб. Данный результат не удивителен, если учесть, что четыре ПИФа этой Управляющей компании вошли в десятку самых популярных среди открытых.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На втором месте располагается «УК Сбербанка», чьи фонды в 2011 году, с учетом оттока, смогли привлечь чуть более 1.6 млрд. руб. И замыкает тройку лидеров управляющая компания «Капиталъ Управление активами» с результатом 788.76 млрд. руб.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Суммарный показатель управляющих компаний, чьи фонды по итогам года вышли в плюс по привлечению, равен 8.3 млрд. руб. Как было уже отмечено выше, этот результат был обеспечен 43 участниками. Оставшиеся 72 управляющие компании расположились в таблице по оттоку.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Наибольшие потери понесли фонды под управлением «УК Банка Москвы» - в общей сложности в 2011 году они потеряли 716.35 млн. руб. Немногим меньше потеряли фонды под управлением «ТКБ БНП Париба Инвестмент Партнерс» - суммарный показатель равен -713.10 млн. руб., что соответствует второму месту. И замыкает тройку лидеров по оттоку УК «УралСиб» с аналогичным показателем -541.08 млн. руб.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В настоящее время с учетом кризиса и дальнейшей глобализации экономики на рынке управления капиталом  в  России общие тенденции следующие: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-рост общего объема данного рынка служит ориентиром для расширения деятельности коммерческих банков на этом направлении;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-конкуренция со стороны иностранных компаний не значительна;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-конкурентным преимуществом пользуются управляющие компании, входящие в банковские холдинги.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07AAF">
        <w:rPr>
          <w:rFonts w:ascii="Times New Roman" w:hAnsi="Times New Roman"/>
          <w:bCs/>
          <w:sz w:val="28"/>
          <w:szCs w:val="28"/>
          <w:lang w:eastAsia="ru-RU"/>
        </w:rPr>
        <w:t xml:space="preserve">Таким образом, можно предположить, что, глобализация, определяющая современные аспекты развития инвестиционно-банковских услуг, оказала значительное влияние на формирование Стратегии развития банковского сектора Российской Федерации на период до 2015 года. 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color w:val="99CC00"/>
          <w:sz w:val="28"/>
          <w:szCs w:val="28"/>
          <w:lang w:eastAsia="ru-RU"/>
        </w:rPr>
      </w:pPr>
      <w:r w:rsidRPr="0006383C">
        <w:rPr>
          <w:rFonts w:ascii="Times New Roman" w:hAnsi="Times New Roman"/>
          <w:sz w:val="28"/>
          <w:szCs w:val="28"/>
          <w:lang w:eastAsia="ru-RU"/>
        </w:rPr>
        <w:t>Автором выделены следующие направления расширения инвестиционной деятельности коммерческих банков, которым будет оказана поддержка государством:</w:t>
      </w:r>
      <w:r w:rsidRPr="00C07AAF">
        <w:rPr>
          <w:rFonts w:ascii="Times New Roman" w:hAnsi="Times New Roman"/>
          <w:color w:val="99CC00"/>
          <w:sz w:val="28"/>
          <w:szCs w:val="28"/>
          <w:lang w:eastAsia="ru-RU"/>
        </w:rPr>
        <w:t xml:space="preserve"> </w:t>
      </w:r>
    </w:p>
    <w:p w:rsidR="00E56C30" w:rsidRPr="00C07AAF" w:rsidRDefault="00E56C30" w:rsidP="007120F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Увеличение объемов первичного размещения акций (</w:t>
      </w:r>
      <w:r w:rsidRPr="00C07AAF">
        <w:rPr>
          <w:rFonts w:ascii="Times New Roman" w:hAnsi="Times New Roman"/>
          <w:sz w:val="28"/>
          <w:szCs w:val="28"/>
          <w:lang w:val="en-US" w:eastAsia="ru-RU"/>
        </w:rPr>
        <w:t>IPO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) на Фондовых биржах, в связи  с упрощением процедуры регистрации эмиссии ценных бумаг и обеспечения  благоприятных условий для этого процесса.  </w:t>
      </w:r>
    </w:p>
    <w:p w:rsidR="00E56C30" w:rsidRPr="00C07AAF" w:rsidRDefault="00E56C30" w:rsidP="007120F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Увеличение размеров синдицированного кредитования в связи с дальнейшим  развитием этого механизма.</w:t>
      </w:r>
    </w:p>
    <w:p w:rsidR="00E56C30" w:rsidRPr="00C07AAF" w:rsidRDefault="00E56C30" w:rsidP="007120F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Увеличения операций по секьюритизации активов с учетом российской специфики и международного опыта, в том числе полученного в ходе кризиса. </w:t>
      </w:r>
    </w:p>
    <w:p w:rsidR="00E56C30" w:rsidRPr="00C07AAF" w:rsidRDefault="00E56C30" w:rsidP="007120F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Дальнейшее расширение лизинговых и факторинговых операций направленных на поддержку субъектов малого и среднего   бизнеса.</w:t>
      </w:r>
    </w:p>
    <w:p w:rsidR="00E56C30" w:rsidRPr="00C07AAF" w:rsidRDefault="00E56C30" w:rsidP="007120F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Расширение кредитования инвестиционных проектов направленных на  модернизацию российской экономики, в том числе и за счет стабилизации ресурсной базы банковского сектора. </w:t>
      </w:r>
    </w:p>
    <w:p w:rsidR="00E56C30" w:rsidRPr="00C07AAF" w:rsidRDefault="00E56C30" w:rsidP="007120F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Внедрение </w:t>
      </w:r>
      <w:r w:rsidRPr="00B56236">
        <w:rPr>
          <w:rFonts w:ascii="Times New Roman" w:hAnsi="Times New Roman"/>
          <w:sz w:val="28"/>
          <w:szCs w:val="28"/>
          <w:lang w:eastAsia="ru-RU"/>
        </w:rPr>
        <w:t xml:space="preserve">комплекса </w:t>
      </w:r>
      <w:r w:rsidRPr="00C07AAF">
        <w:rPr>
          <w:rFonts w:ascii="Times New Roman" w:hAnsi="Times New Roman"/>
          <w:sz w:val="28"/>
          <w:szCs w:val="28"/>
          <w:lang w:eastAsia="ru-RU"/>
        </w:rPr>
        <w:t>современных банковских продуктов и услуг что приведет к снижению стоимостных, административных, процедурных, технических и технологических издержек (затрат) клиентов при их потреблении.</w:t>
      </w:r>
    </w:p>
    <w:p w:rsidR="00E56C30" w:rsidRPr="00C07AAF" w:rsidRDefault="00E56C30" w:rsidP="007120F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Расширение возможностей потребления банковских услуг населением и организациями, в том числе в удаленных и труднодоступных регионах.</w:t>
      </w:r>
    </w:p>
    <w:p w:rsidR="00E56C30" w:rsidRPr="00C07AAF" w:rsidRDefault="00E56C30" w:rsidP="007120F2">
      <w:pPr>
        <w:pStyle w:val="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Расширение инвестиций в передовые банковские технологии и банковские продукты, а также в развитие современных финансовых инструментов.</w:t>
      </w:r>
    </w:p>
    <w:p w:rsidR="00E56C30" w:rsidRPr="00B56236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56236">
        <w:rPr>
          <w:rFonts w:ascii="Times New Roman" w:hAnsi="Times New Roman"/>
          <w:sz w:val="28"/>
          <w:szCs w:val="28"/>
          <w:lang w:eastAsia="ru-RU"/>
        </w:rPr>
        <w:t>Автором предлагается авторская модель синдицированного кредитования, которая сокращает временные риски банков и позволяет  увеличить как объем кредита, так и срок кредитования (рис.</w:t>
      </w:r>
      <w:r>
        <w:rPr>
          <w:rFonts w:ascii="Times New Roman" w:hAnsi="Times New Roman"/>
          <w:sz w:val="28"/>
          <w:szCs w:val="28"/>
          <w:lang w:eastAsia="ru-RU"/>
        </w:rPr>
        <w:t xml:space="preserve"> 1</w:t>
      </w:r>
      <w:r w:rsidRPr="00B56236">
        <w:rPr>
          <w:rFonts w:ascii="Times New Roman" w:hAnsi="Times New Roman"/>
          <w:sz w:val="28"/>
          <w:szCs w:val="28"/>
          <w:lang w:eastAsia="ru-RU"/>
        </w:rPr>
        <w:t>).</w:t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Рис. 1 Авторская  модель синдицированного кредитования.</w:t>
      </w: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9" o:spid="_x0000_s1026" type="#_x0000_t202" style="position:absolute;left:0;text-align:left;margin-left:10.2pt;margin-top:15.7pt;width:123pt;height:47.25pt;z-index:2516531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" strokeweight=".5pt">
            <v:textbox>
              <w:txbxContent>
                <w:p w:rsidR="00E56C30" w:rsidRPr="001042AB" w:rsidRDefault="00E56C30" w:rsidP="007120F2">
                  <w:pPr>
                    <w:jc w:val="center"/>
                    <w:rPr>
                      <w:rFonts w:ascii="Times New Roman" w:hAnsi="Times New Roman"/>
                    </w:rPr>
                  </w:pPr>
                  <w:r w:rsidRPr="001042AB">
                    <w:rPr>
                      <w:rFonts w:ascii="Times New Roman" w:hAnsi="Times New Roman"/>
                    </w:rPr>
                    <w:t>Банк 1</w:t>
                  </w:r>
                </w:p>
              </w:txbxContent>
            </v:textbox>
          </v:shape>
        </w:pic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Поле 10" o:spid="_x0000_s1027" type="#_x0000_t202" style="position:absolute;left:0;text-align:left;margin-left:247.95pt;margin-top:1.65pt;width:98.25pt;height:210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" strokeweight=".5pt">
            <v:textbox>
              <w:txbxContent>
                <w:p w:rsidR="00E56C30" w:rsidRPr="001042AB" w:rsidRDefault="00E56C30" w:rsidP="007120F2">
                  <w:pPr>
                    <w:jc w:val="center"/>
                    <w:rPr>
                      <w:rFonts w:ascii="Times New Roman" w:hAnsi="Times New Roman"/>
                    </w:rPr>
                  </w:pPr>
                  <w:r w:rsidRPr="001042AB">
                    <w:rPr>
                      <w:rFonts w:ascii="Times New Roman" w:hAnsi="Times New Roman"/>
                    </w:rPr>
                    <w:t>предприятие</w:t>
                  </w:r>
                </w:p>
              </w:txbxContent>
            </v:textbox>
          </v:shape>
        </w:pic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  <w:t>1</w:t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8" o:spid="_x0000_s1028" type="#_x0000_t32" style="position:absolute;left:0;text-align:left;margin-left:133.2pt;margin-top:.55pt;width:114.75pt;height:0;flip:y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">
            <v:stroke endarrow="open"/>
          </v:shape>
        </w:pic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  <w:t>2</w:t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Прямая со стрелкой 6" o:spid="_x0000_s1029" type="#_x0000_t32" style="position:absolute;left:0;text-align:left;margin-left:70.95pt;margin-top:7.5pt;width:0;height:31.5pt;flip:y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">
            <v:stroke endarrow="open"/>
          </v:shape>
        </w:pict>
      </w:r>
      <w:r>
        <w:rPr>
          <w:noProof/>
          <w:lang w:eastAsia="ru-RU"/>
        </w:rPr>
        <w:pict>
          <v:shape id="Прямая со стрелкой 7" o:spid="_x0000_s1030" type="#_x0000_t32" style="position:absolute;left:0;text-align:left;margin-left:133.2pt;margin-top:.55pt;width:114.75pt;height:0;flip:x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">
            <v:stroke endarrow="open"/>
          </v:shape>
        </w:pic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3</w:t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Поле 5" o:spid="_x0000_s1031" type="#_x0000_t202" style="position:absolute;left:0;text-align:left;margin-left:13.95pt;margin-top:11.2pt;width:123pt;height:48.75pt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" strokeweight=".5pt">
            <v:textbox>
              <w:txbxContent>
                <w:p w:rsidR="00E56C30" w:rsidRPr="001042AB" w:rsidRDefault="00E56C30" w:rsidP="007120F2">
                  <w:pPr>
                    <w:jc w:val="center"/>
                    <w:rPr>
                      <w:rFonts w:ascii="Times New Roman" w:hAnsi="Times New Roman"/>
                    </w:rPr>
                  </w:pPr>
                  <w:r w:rsidRPr="001042AB">
                    <w:rPr>
                      <w:rFonts w:ascii="Times New Roman" w:hAnsi="Times New Roman"/>
                    </w:rPr>
                    <w:t>Банк 2</w:t>
                  </w:r>
                </w:p>
              </w:txbxContent>
            </v:textbox>
          </v:shape>
        </w:pict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Прямая со стрелкой 4" o:spid="_x0000_s1032" type="#_x0000_t32" style="position:absolute;left:0;text-align:left;margin-left:133.2pt;margin-top:14.95pt;width:114.75pt;height:0;flip:x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">
            <v:stroke endarrow="open"/>
          </v:shape>
        </w:pic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  <w:t>4</w:t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Прямая со стрелкой 3" o:spid="_x0000_s1033" type="#_x0000_t32" style="position:absolute;left:0;text-align:left;margin-left:68.7pt;margin-top:4.65pt;width:.75pt;height:27pt;flip:y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">
            <v:stroke endarrow="open"/>
          </v:shape>
        </w:pict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Поле 2" o:spid="_x0000_s1034" type="#_x0000_t202" style="position:absolute;left:0;text-align:left;margin-left:10.2pt;margin-top:17.35pt;width:123pt;height:56.25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" strokeweight=".5pt">
            <v:textbox>
              <w:txbxContent>
                <w:p w:rsidR="00E56C30" w:rsidRPr="001042AB" w:rsidRDefault="00E56C30" w:rsidP="007120F2">
                  <w:pPr>
                    <w:jc w:val="center"/>
                    <w:rPr>
                      <w:rFonts w:ascii="Times New Roman" w:hAnsi="Times New Roman"/>
                    </w:rPr>
                  </w:pPr>
                  <w:r w:rsidRPr="001042AB">
                    <w:rPr>
                      <w:rFonts w:ascii="Times New Roman" w:hAnsi="Times New Roman"/>
                    </w:rPr>
                    <w:t>Банк 3</w:t>
                  </w:r>
                </w:p>
              </w:txbxContent>
            </v:textbox>
          </v:shape>
        </w:pict>
      </w:r>
      <w:r>
        <w:rPr>
          <w:rFonts w:ascii="Times New Roman" w:hAnsi="Times New Roman"/>
          <w:sz w:val="24"/>
          <w:szCs w:val="24"/>
          <w:lang w:eastAsia="ru-RU"/>
        </w:rPr>
        <w:t xml:space="preserve">        5</w:t>
      </w: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Прямая со стрелкой 1" o:spid="_x0000_s1035" type="#_x0000_t32" style="position:absolute;left:0;text-align:left;margin-left:133.2pt;margin-top:17.95pt;width:114.75pt;height:0;flip:x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">
            <v:stroke endarrow="open"/>
          </v:shape>
        </w:pic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  <w:t>6</w:t>
      </w: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Рассмотрим данную модель на конкретном примере. </w:t>
      </w:r>
    </w:p>
    <w:p w:rsidR="00E56C30" w:rsidRPr="00C07AAF" w:rsidRDefault="00E56C30" w:rsidP="007120F2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Банк 1 заключает кредитный договор с предприятием на 15 лет по 10% годовых  на сумму 150 000 000 рублей.</w:t>
      </w:r>
    </w:p>
    <w:p w:rsidR="00E56C30" w:rsidRPr="00C07AAF" w:rsidRDefault="00E56C30" w:rsidP="007120F2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Предприятие в течение 5 лет выплачивает Банку 1 основной долг в сумме 50 000 000 и проценты за пользование кредита.</w:t>
      </w:r>
    </w:p>
    <w:p w:rsidR="00E56C30" w:rsidRPr="00C07AAF" w:rsidRDefault="00E56C30" w:rsidP="007120F2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Банк</w:t>
      </w:r>
      <w:r>
        <w:rPr>
          <w:rFonts w:ascii="Times New Roman" w:hAnsi="Times New Roman"/>
          <w:sz w:val="28"/>
          <w:szCs w:val="28"/>
          <w:lang w:eastAsia="ru-RU"/>
        </w:rPr>
        <w:t xml:space="preserve"> 2 через 5 лет переводит Банку </w:t>
      </w:r>
      <w:r w:rsidRPr="00C07AAF">
        <w:rPr>
          <w:rFonts w:ascii="Times New Roman" w:hAnsi="Times New Roman"/>
          <w:sz w:val="28"/>
          <w:szCs w:val="28"/>
          <w:lang w:eastAsia="ru-RU"/>
        </w:rPr>
        <w:t xml:space="preserve"> 100 000 000 рублей. В результате Банк 1 возвращает сумму основного долга и проценты за 5 лет. </w:t>
      </w:r>
    </w:p>
    <w:p w:rsidR="00E56C30" w:rsidRPr="00C07AAF" w:rsidRDefault="00E56C30" w:rsidP="007120F2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Банк 2 получает от предприятия в течение следующих 5 лет основной долг в размере 50 000 000 рублей и проценты по кредиту 10 % с суммы 100 000 000 рублей.</w:t>
      </w:r>
    </w:p>
    <w:p w:rsidR="00E56C30" w:rsidRPr="00C07AAF" w:rsidRDefault="00E56C30" w:rsidP="007120F2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По окончании 10 лет с начала заключения кредитного договора Банк 3 переводит 50 000 000 рублей Банку 2. В результате Банк 2 возвращает сумму основного долга 100 000 000 рублей и проценты с этой суммы за пять лет.</w:t>
      </w:r>
    </w:p>
    <w:p w:rsidR="00E56C30" w:rsidRPr="00C07AAF" w:rsidRDefault="00E56C30" w:rsidP="007120F2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 xml:space="preserve">Банк 3 получает от предприятия в течение следующих 5 лет основной долг в размере 50 000 000 рублей и проценты по кредиту 10 % с суммы 50 000 000 рублей. </w:t>
      </w:r>
    </w:p>
    <w:p w:rsidR="00E56C30" w:rsidRPr="00C07AAF" w:rsidRDefault="00E56C30" w:rsidP="007120F2">
      <w:pPr>
        <w:pStyle w:val="1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Кредитный договор  закрывается.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07AAF">
        <w:rPr>
          <w:rFonts w:ascii="Times New Roman" w:hAnsi="Times New Roman"/>
          <w:sz w:val="28"/>
          <w:szCs w:val="28"/>
          <w:lang w:eastAsia="ru-RU"/>
        </w:rPr>
        <w:t>Основные достоинства данной модели:</w:t>
      </w:r>
    </w:p>
    <w:p w:rsidR="00E56C30" w:rsidRPr="00A35FD1" w:rsidRDefault="00E56C30" w:rsidP="00A35FD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5FD1">
        <w:rPr>
          <w:rFonts w:ascii="Times New Roman" w:hAnsi="Times New Roman"/>
          <w:sz w:val="28"/>
          <w:szCs w:val="28"/>
          <w:lang w:eastAsia="ru-RU"/>
        </w:rPr>
        <w:t>Риск распределяется между тремя и более банками;</w:t>
      </w:r>
    </w:p>
    <w:p w:rsidR="00E56C30" w:rsidRPr="00A35FD1" w:rsidRDefault="00E56C30" w:rsidP="00A35FD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5FD1">
        <w:rPr>
          <w:rFonts w:ascii="Times New Roman" w:hAnsi="Times New Roman"/>
          <w:sz w:val="28"/>
          <w:szCs w:val="28"/>
          <w:lang w:eastAsia="ru-RU"/>
        </w:rPr>
        <w:t>Предприятие получает долгосрочный кредит 15 лет и более;</w:t>
      </w:r>
    </w:p>
    <w:p w:rsidR="00E56C30" w:rsidRPr="00A35FD1" w:rsidRDefault="00E56C30" w:rsidP="00A35FD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5FD1">
        <w:rPr>
          <w:rFonts w:ascii="Times New Roman" w:hAnsi="Times New Roman"/>
          <w:sz w:val="28"/>
          <w:szCs w:val="28"/>
          <w:lang w:eastAsia="ru-RU"/>
        </w:rPr>
        <w:t>Каждый банк сокращает риск невозврата кредита до пяти лет.</w:t>
      </w:r>
    </w:p>
    <w:p w:rsidR="00E56C30" w:rsidRPr="00A35FD1" w:rsidRDefault="00E56C30" w:rsidP="00A35FD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35FD1">
        <w:rPr>
          <w:rFonts w:ascii="Times New Roman" w:hAnsi="Times New Roman"/>
          <w:sz w:val="28"/>
          <w:szCs w:val="28"/>
          <w:lang w:eastAsia="ru-RU"/>
        </w:rPr>
        <w:t>Проведенные выше исследования позволили автору систематизировать основные составляющие инвестиционного банкинга российских коммерческих банков на современном этапе развития экономики по следующим критериям: современное состояние, тенденции развития, перспекти</w:t>
      </w:r>
      <w:r>
        <w:rPr>
          <w:rFonts w:ascii="Times New Roman" w:hAnsi="Times New Roman"/>
          <w:sz w:val="28"/>
          <w:szCs w:val="28"/>
          <w:lang w:eastAsia="ru-RU"/>
        </w:rPr>
        <w:t>вные направления развития (таб. 6</w:t>
      </w:r>
      <w:r w:rsidRPr="00A35FD1">
        <w:rPr>
          <w:rFonts w:ascii="Times New Roman" w:hAnsi="Times New Roman"/>
          <w:sz w:val="28"/>
          <w:szCs w:val="28"/>
          <w:lang w:eastAsia="ru-RU"/>
        </w:rPr>
        <w:t>).</w:t>
      </w:r>
    </w:p>
    <w:p w:rsidR="00E56C30" w:rsidRPr="00C07AAF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07AAF">
        <w:rPr>
          <w:rFonts w:ascii="Times New Roman" w:hAnsi="Times New Roman"/>
          <w:sz w:val="24"/>
          <w:szCs w:val="24"/>
          <w:lang w:eastAsia="ru-RU"/>
        </w:rPr>
        <w:t xml:space="preserve">Таб. </w:t>
      </w:r>
      <w:r>
        <w:rPr>
          <w:rFonts w:ascii="Times New Roman" w:hAnsi="Times New Roman"/>
          <w:sz w:val="24"/>
          <w:szCs w:val="24"/>
          <w:lang w:eastAsia="ru-RU"/>
        </w:rPr>
        <w:t>6</w:t>
      </w:r>
      <w:r w:rsidRPr="00C07AAF">
        <w:rPr>
          <w:rFonts w:ascii="Times New Roman" w:hAnsi="Times New Roman"/>
          <w:sz w:val="24"/>
          <w:szCs w:val="24"/>
          <w:lang w:eastAsia="ru-RU"/>
        </w:rPr>
        <w:t xml:space="preserve"> Современное состояние инвестиционного банкинга в России.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49"/>
        <w:gridCol w:w="2551"/>
        <w:gridCol w:w="2309"/>
        <w:gridCol w:w="2362"/>
      </w:tblGrid>
      <w:tr w:rsidR="00E56C30" w:rsidRPr="00C07AAF" w:rsidTr="00FE5011">
        <w:tc>
          <w:tcPr>
            <w:tcW w:w="2392" w:type="dxa"/>
          </w:tcPr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E56C30" w:rsidRPr="00C07AAF" w:rsidRDefault="00E56C30" w:rsidP="007D4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Современное состояние</w:t>
            </w:r>
          </w:p>
        </w:tc>
        <w:tc>
          <w:tcPr>
            <w:tcW w:w="2393" w:type="dxa"/>
          </w:tcPr>
          <w:p w:rsidR="00E56C30" w:rsidRPr="00C07AAF" w:rsidRDefault="00E56C30" w:rsidP="007D4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Тенденции развития</w:t>
            </w:r>
          </w:p>
        </w:tc>
        <w:tc>
          <w:tcPr>
            <w:tcW w:w="2393" w:type="dxa"/>
          </w:tcPr>
          <w:p w:rsidR="00E56C30" w:rsidRPr="00C07AAF" w:rsidRDefault="00E56C30" w:rsidP="007D4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Перспективные направления</w:t>
            </w:r>
          </w:p>
        </w:tc>
      </w:tr>
      <w:tr w:rsidR="00E56C30" w:rsidRPr="00C07AAF" w:rsidTr="00FE5011">
        <w:tc>
          <w:tcPr>
            <w:tcW w:w="2392" w:type="dxa"/>
          </w:tcPr>
          <w:p w:rsidR="00E56C30" w:rsidRPr="00C07AAF" w:rsidRDefault="00E56C30" w:rsidP="007D4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Организ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ация выпуска облигаций и акций</w:t>
            </w:r>
          </w:p>
        </w:tc>
        <w:tc>
          <w:tcPr>
            <w:tcW w:w="2393" w:type="dxa"/>
          </w:tcPr>
          <w:p w:rsidR="00E56C30" w:rsidRPr="00C07AAF" w:rsidRDefault="00E56C30" w:rsidP="007D4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Сильная конкуренция с иностранными банками по </w:t>
            </w: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IPO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, преимущества российских банков по облигациям</w:t>
            </w:r>
          </w:p>
        </w:tc>
        <w:tc>
          <w:tcPr>
            <w:tcW w:w="2393" w:type="dxa"/>
          </w:tcPr>
          <w:p w:rsidR="00E56C30" w:rsidRPr="00C07AAF" w:rsidRDefault="00E56C30" w:rsidP="007D4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Увеличение объемов как     </w:t>
            </w:r>
          </w:p>
          <w:p w:rsidR="00E56C30" w:rsidRPr="00C07AAF" w:rsidRDefault="00E56C30" w:rsidP="007D4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07AA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IPO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так и выпуск облигаций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Дифференциация по сегментам рынка средними и мелкими банками</w:t>
            </w:r>
          </w:p>
        </w:tc>
      </w:tr>
      <w:tr w:rsidR="00E56C30" w:rsidRPr="00C07AAF" w:rsidTr="00FE5011">
        <w:tc>
          <w:tcPr>
            <w:tcW w:w="2392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Консультации по сделкам слияния и поглощения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Преимущество зарубежных банков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Расширение данных операций, как на внутреннем, так и внешнем рынке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Внешний рынок для крупных банков, средние и мелкие банки на региональном уровне</w:t>
            </w:r>
          </w:p>
        </w:tc>
      </w:tr>
      <w:tr w:rsidR="00E56C30" w:rsidRPr="00C07AAF" w:rsidTr="00FE5011">
        <w:tc>
          <w:tcPr>
            <w:tcW w:w="2392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синдицированного кредитования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Превосходство российских банков на внутреннем рынке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(в руб.), зарубежных банков в ин. валюте.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Увеличение объемов в иностранной валюте     </w:t>
            </w:r>
          </w:p>
          <w:p w:rsidR="00E56C30" w:rsidRPr="00C07AAF" w:rsidRDefault="00E56C30" w:rsidP="007120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E56C30" w:rsidRPr="00C07AAF" w:rsidRDefault="00E56C30" w:rsidP="007749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Расширение выдачи в рублях российски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 банками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, увеличение сроков кредитования</w:t>
            </w:r>
          </w:p>
        </w:tc>
      </w:tr>
      <w:tr w:rsidR="00E56C30" w:rsidRPr="00C07AAF" w:rsidTr="00FE5011">
        <w:tc>
          <w:tcPr>
            <w:tcW w:w="2392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секьюритизации активов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Ограничены внутренним рынком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Расширение участников и объемов секьюритизации ипотечных кредитов на внутреннем рынке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Расширение видов активов, которые можно секьюритизировать</w:t>
            </w:r>
          </w:p>
        </w:tc>
      </w:tr>
      <w:tr w:rsidR="00E56C30" w:rsidRPr="00C07AAF" w:rsidTr="00FE5011">
        <w:tc>
          <w:tcPr>
            <w:tcW w:w="2392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Брокерские операции на фондовом рынке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Преимущество российских банков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 сильная конкуренция с небанковскими организациями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Увеличение количества участников и оборотов по брокерским счетам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Перспективное направление для средних и мелких банков на региональном уровне</w:t>
            </w:r>
          </w:p>
        </w:tc>
      </w:tr>
      <w:tr w:rsidR="00E56C30" w:rsidRPr="00C07AAF" w:rsidTr="00FE5011">
        <w:tc>
          <w:tcPr>
            <w:tcW w:w="2392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Депозитарное хранение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Конкуренция между специализированными депозитариями и коммерческими банками 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Увеличение объемов хранимых ценных бумаг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Перспективно для крупных банков </w:t>
            </w:r>
          </w:p>
        </w:tc>
      </w:tr>
      <w:tr w:rsidR="00E56C30" w:rsidRPr="00C07AAF" w:rsidTr="00FE5011">
        <w:tc>
          <w:tcPr>
            <w:tcW w:w="2392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Управление активами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е значительная конкуренция с иностранными компаниями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Расширение участников и объемов</w:t>
            </w:r>
          </w:p>
        </w:tc>
        <w:tc>
          <w:tcPr>
            <w:tcW w:w="2393" w:type="dxa"/>
          </w:tcPr>
          <w:p w:rsidR="00E56C30" w:rsidRPr="00C07AAF" w:rsidRDefault="00E56C30" w:rsidP="007730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7AAF">
              <w:rPr>
                <w:rFonts w:ascii="Times New Roman" w:hAnsi="Times New Roman"/>
                <w:sz w:val="24"/>
                <w:szCs w:val="24"/>
                <w:lang w:eastAsia="ru-RU"/>
              </w:rPr>
              <w:t>Управляющие компании входящие в холдинг имеют преимущество перед другими участниками</w:t>
            </w:r>
          </w:p>
        </w:tc>
      </w:tr>
    </w:tbl>
    <w:p w:rsidR="00E56C30" w:rsidRDefault="00E56C30" w:rsidP="007120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56C30" w:rsidRDefault="00E56C30" w:rsidP="00A35FD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5FD1">
        <w:rPr>
          <w:rFonts w:ascii="Times New Roman" w:hAnsi="Times New Roman"/>
          <w:sz w:val="28"/>
          <w:szCs w:val="28"/>
          <w:lang w:eastAsia="ru-RU"/>
        </w:rPr>
        <w:t>С учетом выявленных перспективных направлений развития инвестиционного банкинга российские банки имеют возможность расширить спектр предлагаемых услуг с целью повышения своей конкурентоспособности.</w:t>
      </w:r>
    </w:p>
    <w:p w:rsidR="00E56C30" w:rsidRDefault="00E56C30" w:rsidP="00A35FD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6C30" w:rsidRDefault="00E56C30" w:rsidP="000A27C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0A27CA">
        <w:rPr>
          <w:rFonts w:ascii="Times New Roman" w:hAnsi="Times New Roman"/>
          <w:b/>
          <w:sz w:val="28"/>
          <w:szCs w:val="28"/>
          <w:lang w:eastAsia="ru-RU"/>
        </w:rPr>
        <w:t>Список литературы</w:t>
      </w:r>
    </w:p>
    <w:p w:rsidR="00E56C30" w:rsidRPr="00F55BBF" w:rsidRDefault="00E56C30" w:rsidP="00F55BBF">
      <w:pPr>
        <w:pStyle w:val="ListParagraph"/>
        <w:numPr>
          <w:ilvl w:val="0"/>
          <w:numId w:val="8"/>
        </w:numPr>
        <w:rPr>
          <w:rFonts w:ascii="Times New Roman" w:hAnsi="Times New Roman"/>
          <w:sz w:val="28"/>
          <w:szCs w:val="28"/>
          <w:lang w:eastAsia="ru-RU"/>
        </w:rPr>
      </w:pPr>
      <w:r w:rsidRPr="00F55BBF">
        <w:rPr>
          <w:rFonts w:ascii="Times New Roman" w:hAnsi="Times New Roman"/>
          <w:sz w:val="28"/>
          <w:szCs w:val="28"/>
          <w:lang w:eastAsia="ru-RU"/>
        </w:rPr>
        <w:t>www.cbonds.ru</w:t>
      </w:r>
    </w:p>
    <w:p w:rsidR="00E56C30" w:rsidRPr="00F55BBF" w:rsidRDefault="00E56C30" w:rsidP="00F55BBF">
      <w:pPr>
        <w:pStyle w:val="ListParagraph"/>
        <w:numPr>
          <w:ilvl w:val="0"/>
          <w:numId w:val="8"/>
        </w:numPr>
        <w:rPr>
          <w:rFonts w:ascii="Times New Roman" w:hAnsi="Times New Roman"/>
          <w:sz w:val="28"/>
          <w:szCs w:val="28"/>
          <w:lang w:eastAsia="ru-RU"/>
        </w:rPr>
      </w:pPr>
      <w:r w:rsidRPr="00F55BBF">
        <w:rPr>
          <w:rFonts w:ascii="Times New Roman" w:hAnsi="Times New Roman"/>
          <w:sz w:val="28"/>
          <w:szCs w:val="28"/>
          <w:lang w:eastAsia="ru-RU"/>
        </w:rPr>
        <w:t>Газета «Коммерсант» № 234 (4051) от 23.12.2008 г.</w:t>
      </w:r>
    </w:p>
    <w:p w:rsidR="00E56C30" w:rsidRPr="00F55BBF" w:rsidRDefault="00E56C30" w:rsidP="00F55BBF">
      <w:pPr>
        <w:pStyle w:val="ListParagraph"/>
        <w:numPr>
          <w:ilvl w:val="0"/>
          <w:numId w:val="8"/>
        </w:numPr>
        <w:rPr>
          <w:rFonts w:ascii="Times New Roman" w:hAnsi="Times New Roman"/>
          <w:sz w:val="28"/>
          <w:szCs w:val="28"/>
          <w:lang w:eastAsia="ru-RU"/>
        </w:rPr>
      </w:pPr>
      <w:r w:rsidRPr="00F55BBF">
        <w:rPr>
          <w:rFonts w:ascii="Times New Roman" w:hAnsi="Times New Roman"/>
          <w:sz w:val="28"/>
          <w:szCs w:val="28"/>
          <w:lang w:eastAsia="ru-RU"/>
        </w:rPr>
        <w:t xml:space="preserve">Сравнительный анализ российского банковского сектора с другими странами, ЦЭИ Московской финансово-промышленной академии. Промышленник России, 2007. №2  </w:t>
      </w:r>
    </w:p>
    <w:p w:rsidR="00E56C30" w:rsidRPr="00F55BBF" w:rsidRDefault="00E56C30" w:rsidP="00F55BBF">
      <w:pPr>
        <w:pStyle w:val="ListParagraph"/>
        <w:numPr>
          <w:ilvl w:val="0"/>
          <w:numId w:val="8"/>
        </w:numPr>
        <w:rPr>
          <w:rFonts w:ascii="Times New Roman" w:hAnsi="Times New Roman"/>
          <w:sz w:val="28"/>
          <w:szCs w:val="28"/>
          <w:lang w:eastAsia="ru-RU"/>
        </w:rPr>
      </w:pPr>
      <w:r w:rsidRPr="00F55BBF">
        <w:rPr>
          <w:rFonts w:ascii="Times New Roman" w:hAnsi="Times New Roman"/>
          <w:sz w:val="28"/>
          <w:szCs w:val="28"/>
          <w:lang w:eastAsia="ru-RU"/>
        </w:rPr>
        <w:t>http //www.ma-journal.ru/consultants/</w:t>
      </w:r>
    </w:p>
    <w:p w:rsidR="00E56C30" w:rsidRPr="00F55BBF" w:rsidRDefault="00E56C30" w:rsidP="00F55BBF">
      <w:pPr>
        <w:pStyle w:val="ListParagraph"/>
        <w:numPr>
          <w:ilvl w:val="0"/>
          <w:numId w:val="8"/>
        </w:numPr>
        <w:rPr>
          <w:rFonts w:ascii="Times New Roman" w:hAnsi="Times New Roman"/>
          <w:sz w:val="28"/>
          <w:szCs w:val="28"/>
          <w:lang w:eastAsia="ru-RU"/>
        </w:rPr>
      </w:pPr>
      <w:r w:rsidRPr="00F55BBF">
        <w:rPr>
          <w:rFonts w:ascii="Times New Roman" w:hAnsi="Times New Roman"/>
          <w:sz w:val="28"/>
          <w:szCs w:val="28"/>
          <w:lang w:eastAsia="ru-RU"/>
        </w:rPr>
        <w:t>Инвестиционный банкинг, 2007 г., №1, Перспективы развития LBO на российском рынке, А.И. Вишкарев.</w:t>
      </w:r>
    </w:p>
    <w:p w:rsidR="00E56C30" w:rsidRPr="00F55BBF" w:rsidRDefault="00E56C30" w:rsidP="00F55BBF">
      <w:pPr>
        <w:pStyle w:val="ListParagraph"/>
        <w:numPr>
          <w:ilvl w:val="0"/>
          <w:numId w:val="8"/>
        </w:numPr>
        <w:rPr>
          <w:rFonts w:ascii="Times New Roman" w:hAnsi="Times New Roman"/>
          <w:sz w:val="28"/>
          <w:szCs w:val="28"/>
          <w:lang w:eastAsia="ru-RU"/>
        </w:rPr>
      </w:pPr>
      <w:r w:rsidRPr="00F55BBF">
        <w:rPr>
          <w:rFonts w:ascii="Times New Roman" w:hAnsi="Times New Roman"/>
          <w:sz w:val="28"/>
          <w:szCs w:val="28"/>
          <w:lang w:eastAsia="ru-RU"/>
        </w:rPr>
        <w:t xml:space="preserve">Иванов О. М., Федотова С. Секьюритизация в России. Подведение итогов и взгляд в будущее. Энциклопедия российской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55BBF">
        <w:rPr>
          <w:rFonts w:ascii="Times New Roman" w:hAnsi="Times New Roman"/>
          <w:sz w:val="28"/>
          <w:szCs w:val="28"/>
          <w:lang w:eastAsia="ru-RU"/>
        </w:rPr>
        <w:t>секьюритизации 2008, Cbonds , Санкт-Петербург, с.12.</w:t>
      </w:r>
    </w:p>
    <w:p w:rsidR="00E56C30" w:rsidRPr="00F55BBF" w:rsidRDefault="00E56C30" w:rsidP="00F55BBF">
      <w:pPr>
        <w:pStyle w:val="ListParagraph"/>
        <w:numPr>
          <w:ilvl w:val="0"/>
          <w:numId w:val="8"/>
        </w:numPr>
        <w:rPr>
          <w:rFonts w:ascii="Times New Roman" w:hAnsi="Times New Roman"/>
          <w:sz w:val="28"/>
          <w:szCs w:val="28"/>
          <w:lang w:eastAsia="ru-RU"/>
        </w:rPr>
      </w:pPr>
      <w:r w:rsidRPr="00F55BBF">
        <w:rPr>
          <w:rFonts w:ascii="Times New Roman" w:hAnsi="Times New Roman"/>
          <w:sz w:val="28"/>
          <w:szCs w:val="28"/>
          <w:lang w:eastAsia="ru-RU"/>
        </w:rPr>
        <w:t>Г. Губейдуллина, Упаковка для кредитов, Ведомости 02.09.2009, № 164 (2434)</w:t>
      </w:r>
    </w:p>
    <w:p w:rsidR="00E56C30" w:rsidRDefault="00E56C30" w:rsidP="00D03296">
      <w:pPr>
        <w:pStyle w:val="ListParagraph"/>
        <w:spacing w:after="0" w:line="240" w:lineRule="auto"/>
        <w:ind w:left="1069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E56C30" w:rsidRPr="00F55BBF" w:rsidRDefault="00E56C30" w:rsidP="00D03296">
      <w:pPr>
        <w:pStyle w:val="ListParagraph"/>
        <w:spacing w:after="0" w:line="240" w:lineRule="auto"/>
        <w:ind w:left="106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Опубликована в журнале «Гуманитарные научные исследования»</w:t>
      </w:r>
    </w:p>
    <w:sectPr w:rsidR="00E56C30" w:rsidRPr="00F55BBF" w:rsidSect="003D6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D25EF"/>
    <w:multiLevelType w:val="hybridMultilevel"/>
    <w:tmpl w:val="AE6288CC"/>
    <w:lvl w:ilvl="0" w:tplc="01928FA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F2B673B"/>
    <w:multiLevelType w:val="hybridMultilevel"/>
    <w:tmpl w:val="03E247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6312D25"/>
    <w:multiLevelType w:val="hybridMultilevel"/>
    <w:tmpl w:val="60062F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0E4772C"/>
    <w:multiLevelType w:val="hybridMultilevel"/>
    <w:tmpl w:val="A96643CA"/>
    <w:lvl w:ilvl="0" w:tplc="D5F240BA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58A56BD6"/>
    <w:multiLevelType w:val="hybridMultilevel"/>
    <w:tmpl w:val="69766E9E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661C040A"/>
    <w:multiLevelType w:val="hybridMultilevel"/>
    <w:tmpl w:val="3C18F0D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6D7A3220"/>
    <w:multiLevelType w:val="hybridMultilevel"/>
    <w:tmpl w:val="4086BA02"/>
    <w:lvl w:ilvl="0" w:tplc="0419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7">
    <w:nsid w:val="7C7037CB"/>
    <w:multiLevelType w:val="hybridMultilevel"/>
    <w:tmpl w:val="3A6CA122"/>
    <w:lvl w:ilvl="0" w:tplc="04190001">
      <w:start w:val="1"/>
      <w:numFmt w:val="bullet"/>
      <w:lvlText w:val=""/>
      <w:lvlJc w:val="left"/>
      <w:pPr>
        <w:ind w:left="1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20F2"/>
    <w:rsid w:val="000134E5"/>
    <w:rsid w:val="00056D58"/>
    <w:rsid w:val="0006383C"/>
    <w:rsid w:val="000A18D9"/>
    <w:rsid w:val="000A27CA"/>
    <w:rsid w:val="001042AB"/>
    <w:rsid w:val="001749C0"/>
    <w:rsid w:val="001C0FEF"/>
    <w:rsid w:val="003139F7"/>
    <w:rsid w:val="003D6F9F"/>
    <w:rsid w:val="00457AC0"/>
    <w:rsid w:val="005B795C"/>
    <w:rsid w:val="00605740"/>
    <w:rsid w:val="007120F2"/>
    <w:rsid w:val="0077300E"/>
    <w:rsid w:val="007749BC"/>
    <w:rsid w:val="007858A8"/>
    <w:rsid w:val="007B7EF9"/>
    <w:rsid w:val="007D420F"/>
    <w:rsid w:val="008A6EA0"/>
    <w:rsid w:val="009617E2"/>
    <w:rsid w:val="009A0D71"/>
    <w:rsid w:val="00A35FD1"/>
    <w:rsid w:val="00AE01C1"/>
    <w:rsid w:val="00AF7208"/>
    <w:rsid w:val="00B16657"/>
    <w:rsid w:val="00B44FD0"/>
    <w:rsid w:val="00B56236"/>
    <w:rsid w:val="00BA09DB"/>
    <w:rsid w:val="00BE0484"/>
    <w:rsid w:val="00C07AAF"/>
    <w:rsid w:val="00D03296"/>
    <w:rsid w:val="00D62B98"/>
    <w:rsid w:val="00DD4EC1"/>
    <w:rsid w:val="00E21DE3"/>
    <w:rsid w:val="00E56C30"/>
    <w:rsid w:val="00F55BBF"/>
    <w:rsid w:val="00F96E2E"/>
    <w:rsid w:val="00FE5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0F2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rsid w:val="007120F2"/>
    <w:rPr>
      <w:rFonts w:cs="Times New Roman"/>
      <w:vertAlign w:val="superscript"/>
    </w:rPr>
  </w:style>
  <w:style w:type="character" w:styleId="Hyperlink">
    <w:name w:val="Hyperlink"/>
    <w:basedOn w:val="DefaultParagraphFont"/>
    <w:uiPriority w:val="99"/>
    <w:rsid w:val="007120F2"/>
    <w:rPr>
      <w:rFonts w:cs="Times New Roman"/>
      <w:color w:val="0000FF"/>
      <w:u w:val="single"/>
    </w:rPr>
  </w:style>
  <w:style w:type="paragraph" w:customStyle="1" w:styleId="1">
    <w:name w:val="Абзац списка1"/>
    <w:basedOn w:val="Normal"/>
    <w:uiPriority w:val="99"/>
    <w:rsid w:val="007120F2"/>
    <w:pPr>
      <w:ind w:left="720"/>
      <w:contextualSpacing/>
    </w:pPr>
  </w:style>
  <w:style w:type="paragraph" w:customStyle="1" w:styleId="Default">
    <w:name w:val="Default"/>
    <w:uiPriority w:val="99"/>
    <w:rsid w:val="007120F2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99"/>
    <w:qFormat/>
    <w:rsid w:val="00A35FD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rsid w:val="001C0FEF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human.snauka.ru/2012/05/117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65</TotalTime>
  <Pages>16</Pages>
  <Words>5682</Words>
  <Characters>-32766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17</cp:revision>
  <dcterms:created xsi:type="dcterms:W3CDTF">2012-05-09T14:45:00Z</dcterms:created>
  <dcterms:modified xsi:type="dcterms:W3CDTF">2012-05-28T17:44:00Z</dcterms:modified>
</cp:coreProperties>
</file>