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A95" w:rsidRDefault="00F46A95" w:rsidP="00804E7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  <w:bookmarkStart w:id="0" w:name="_Toc323322333"/>
      <w:r w:rsidRPr="00804E70">
        <w:rPr>
          <w:rFonts w:ascii="Times New Roman" w:hAnsi="Times New Roman"/>
          <w:sz w:val="24"/>
          <w:szCs w:val="24"/>
          <w:lang w:eastAsia="ru-RU"/>
        </w:rPr>
        <w:t xml:space="preserve">УДК 336.717 </w:t>
      </w:r>
    </w:p>
    <w:p w:rsidR="00F46A95" w:rsidRPr="00804E70" w:rsidRDefault="00F46A95" w:rsidP="00804E7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F46A95" w:rsidRPr="009E6394" w:rsidRDefault="00F46A95" w:rsidP="00804E7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9E6394">
        <w:rPr>
          <w:rFonts w:ascii="Times New Roman" w:hAnsi="Times New Roman"/>
          <w:b/>
          <w:sz w:val="28"/>
          <w:szCs w:val="28"/>
          <w:lang w:eastAsia="ru-RU"/>
        </w:rPr>
        <w:t>Конкурентоспособность и конкурентные преимущества российских банков на современном этапе развития.</w:t>
      </w:r>
    </w:p>
    <w:p w:rsidR="00F46A95" w:rsidRPr="00804E70" w:rsidRDefault="00F46A95" w:rsidP="00804E7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bookmarkEnd w:id="0"/>
    <w:p w:rsidR="00F46A95" w:rsidRPr="00804E70" w:rsidRDefault="00F46A95" w:rsidP="00804E70">
      <w:pPr>
        <w:tabs>
          <w:tab w:val="center" w:pos="5032"/>
          <w:tab w:val="left" w:pos="6156"/>
        </w:tabs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804E70">
        <w:rPr>
          <w:rFonts w:ascii="Times New Roman" w:hAnsi="Times New Roman"/>
          <w:sz w:val="24"/>
          <w:szCs w:val="24"/>
          <w:lang w:eastAsia="ru-RU"/>
        </w:rPr>
        <w:tab/>
        <w:t>П. Ф. Колесов</w:t>
      </w:r>
      <w:r w:rsidRPr="00804E70">
        <w:rPr>
          <w:rFonts w:ascii="Times New Roman" w:hAnsi="Times New Roman"/>
          <w:sz w:val="24"/>
          <w:szCs w:val="24"/>
          <w:lang w:eastAsia="ru-RU"/>
        </w:rPr>
        <w:tab/>
      </w:r>
    </w:p>
    <w:p w:rsidR="00F46A95" w:rsidRPr="00804E70" w:rsidRDefault="00F46A95" w:rsidP="00804E70">
      <w:pPr>
        <w:tabs>
          <w:tab w:val="center" w:pos="5032"/>
          <w:tab w:val="left" w:pos="6156"/>
        </w:tabs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F46A95" w:rsidRPr="00804E70" w:rsidRDefault="00F46A95" w:rsidP="00804E70">
      <w:pPr>
        <w:tabs>
          <w:tab w:val="center" w:pos="5032"/>
          <w:tab w:val="left" w:pos="6636"/>
        </w:tabs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804E70">
        <w:rPr>
          <w:rFonts w:ascii="Times New Roman" w:hAnsi="Times New Roman"/>
          <w:sz w:val="24"/>
          <w:szCs w:val="24"/>
          <w:lang w:eastAsia="ru-RU"/>
        </w:rPr>
        <w:tab/>
      </w:r>
      <w:hyperlink r:id="rId5" w:history="1">
        <w:r w:rsidRPr="00804E70">
          <w:rPr>
            <w:rFonts w:ascii="Times New Roman" w:hAnsi="Times New Roman"/>
            <w:color w:val="0000FF"/>
            <w:sz w:val="24"/>
            <w:szCs w:val="24"/>
            <w:u w:val="single"/>
            <w:lang w:val="en-US" w:eastAsia="ru-RU"/>
          </w:rPr>
          <w:t>pavelkol</w:t>
        </w:r>
        <w:r w:rsidRPr="00804E70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@</w:t>
        </w:r>
        <w:r w:rsidRPr="00804E70">
          <w:rPr>
            <w:rFonts w:ascii="Times New Roman" w:hAnsi="Times New Roman"/>
            <w:color w:val="0000FF"/>
            <w:sz w:val="24"/>
            <w:szCs w:val="24"/>
            <w:u w:val="single"/>
            <w:lang w:val="en-US" w:eastAsia="ru-RU"/>
          </w:rPr>
          <w:t>hotmail</w:t>
        </w:r>
        <w:r w:rsidRPr="00804E70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804E70">
          <w:rPr>
            <w:rFonts w:ascii="Times New Roman" w:hAnsi="Times New Roman"/>
            <w:color w:val="0000FF"/>
            <w:sz w:val="24"/>
            <w:szCs w:val="24"/>
            <w:u w:val="single"/>
            <w:lang w:val="en-US" w:eastAsia="ru-RU"/>
          </w:rPr>
          <w:t>com</w:t>
        </w:r>
      </w:hyperlink>
      <w:r w:rsidRPr="00804E70">
        <w:rPr>
          <w:rFonts w:ascii="Times New Roman" w:hAnsi="Times New Roman"/>
          <w:sz w:val="24"/>
          <w:szCs w:val="24"/>
          <w:lang w:eastAsia="ru-RU"/>
        </w:rPr>
        <w:tab/>
      </w:r>
    </w:p>
    <w:p w:rsidR="00F46A95" w:rsidRPr="00804E70" w:rsidRDefault="00F46A95" w:rsidP="00804E70">
      <w:pPr>
        <w:tabs>
          <w:tab w:val="center" w:pos="5032"/>
          <w:tab w:val="left" w:pos="6636"/>
        </w:tabs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F46A95" w:rsidRPr="00804E70" w:rsidRDefault="00F46A95" w:rsidP="00804E70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804E70">
        <w:rPr>
          <w:rFonts w:ascii="Times New Roman" w:hAnsi="Times New Roman"/>
          <w:sz w:val="24"/>
          <w:szCs w:val="24"/>
          <w:lang w:eastAsia="ru-RU"/>
        </w:rPr>
        <w:t>Санкт-Петербургский университет экономики и финансов</w:t>
      </w:r>
    </w:p>
    <w:p w:rsidR="00F46A95" w:rsidRPr="00804E70" w:rsidRDefault="00F46A95" w:rsidP="00804E70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F46A95" w:rsidRDefault="00F46A95" w:rsidP="00804E7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804E70">
        <w:rPr>
          <w:rFonts w:ascii="Times New Roman" w:hAnsi="Times New Roman"/>
          <w:i/>
          <w:sz w:val="24"/>
          <w:szCs w:val="24"/>
          <w:lang w:eastAsia="ru-RU"/>
        </w:rPr>
        <w:t xml:space="preserve">В статье рассматриваются основные </w:t>
      </w:r>
      <w:r>
        <w:rPr>
          <w:rFonts w:ascii="Times New Roman" w:hAnsi="Times New Roman"/>
          <w:i/>
          <w:sz w:val="24"/>
          <w:szCs w:val="24"/>
          <w:lang w:eastAsia="ru-RU"/>
        </w:rPr>
        <w:t>конкурентные преимущества российских банков на современном этапе развития экономики</w:t>
      </w:r>
      <w:r w:rsidRPr="00804E70">
        <w:rPr>
          <w:rFonts w:ascii="Times New Roman" w:hAnsi="Times New Roman"/>
          <w:i/>
          <w:sz w:val="24"/>
          <w:szCs w:val="24"/>
          <w:lang w:eastAsia="ru-RU"/>
        </w:rPr>
        <w:t xml:space="preserve">. Автором проведена собственная классификация этих </w:t>
      </w:r>
      <w:r>
        <w:rPr>
          <w:rFonts w:ascii="Times New Roman" w:hAnsi="Times New Roman"/>
          <w:i/>
          <w:sz w:val="24"/>
          <w:szCs w:val="24"/>
          <w:lang w:eastAsia="ru-RU"/>
        </w:rPr>
        <w:t>преимуществ</w:t>
      </w:r>
      <w:r w:rsidRPr="00804E70">
        <w:rPr>
          <w:rFonts w:ascii="Times New Roman" w:hAnsi="Times New Roman"/>
          <w:i/>
          <w:sz w:val="24"/>
          <w:szCs w:val="24"/>
          <w:lang w:eastAsia="ru-RU"/>
        </w:rPr>
        <w:t xml:space="preserve"> и  </w:t>
      </w:r>
      <w:r>
        <w:rPr>
          <w:rFonts w:ascii="Times New Roman" w:hAnsi="Times New Roman"/>
          <w:i/>
          <w:sz w:val="24"/>
          <w:szCs w:val="24"/>
          <w:lang w:eastAsia="ru-RU"/>
        </w:rPr>
        <w:t>проведен анализ предложенных показателей за период с 2007- 2011 гг.  Сравнение данных показателей с показателями зарубежных банков  позволило автору сделать вывод о необходимости принятия государственных мер с цель повышения конкурентоспособности российских банков в преддверии вступления нашей страны в ВТО.</w:t>
      </w:r>
    </w:p>
    <w:p w:rsidR="00F46A95" w:rsidRPr="00804E70" w:rsidRDefault="00F46A95" w:rsidP="00804E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04E70">
        <w:rPr>
          <w:rFonts w:ascii="Times New Roman" w:hAnsi="Times New Roman"/>
          <w:sz w:val="24"/>
          <w:szCs w:val="24"/>
          <w:lang w:eastAsia="ru-RU"/>
        </w:rPr>
        <w:t>Ключевые слова: коммерческие банки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804E70">
        <w:rPr>
          <w:rFonts w:ascii="Times New Roman" w:hAnsi="Times New Roman"/>
          <w:sz w:val="24"/>
          <w:szCs w:val="24"/>
          <w:lang w:eastAsia="ru-RU"/>
        </w:rPr>
        <w:t xml:space="preserve"> конкурентоспособност</w:t>
      </w:r>
      <w:r>
        <w:rPr>
          <w:rFonts w:ascii="Times New Roman" w:hAnsi="Times New Roman"/>
          <w:sz w:val="24"/>
          <w:szCs w:val="24"/>
          <w:lang w:eastAsia="ru-RU"/>
        </w:rPr>
        <w:t>ь</w:t>
      </w:r>
      <w:r w:rsidRPr="00804E70">
        <w:rPr>
          <w:rFonts w:ascii="Times New Roman" w:hAnsi="Times New Roman"/>
          <w:sz w:val="24"/>
          <w:szCs w:val="24"/>
          <w:lang w:eastAsia="ru-RU"/>
        </w:rPr>
        <w:t xml:space="preserve"> банка,</w:t>
      </w:r>
      <w:r>
        <w:rPr>
          <w:rFonts w:ascii="Times New Roman" w:hAnsi="Times New Roman"/>
          <w:sz w:val="24"/>
          <w:szCs w:val="24"/>
          <w:lang w:eastAsia="ru-RU"/>
        </w:rPr>
        <w:t xml:space="preserve"> конкурентные преимущества</w:t>
      </w:r>
      <w:r w:rsidRPr="00804E70">
        <w:rPr>
          <w:rFonts w:ascii="Times New Roman" w:hAnsi="Times New Roman"/>
          <w:sz w:val="24"/>
          <w:szCs w:val="24"/>
          <w:lang w:eastAsia="ru-RU"/>
        </w:rPr>
        <w:t xml:space="preserve">,  </w:t>
      </w:r>
      <w:r>
        <w:rPr>
          <w:rFonts w:ascii="Times New Roman" w:hAnsi="Times New Roman"/>
          <w:sz w:val="24"/>
          <w:szCs w:val="24"/>
          <w:lang w:eastAsia="ru-RU"/>
        </w:rPr>
        <w:t xml:space="preserve">размер активов, размер собственного капитала, рентабельность, имидж. </w:t>
      </w:r>
    </w:p>
    <w:p w:rsidR="00F46A95" w:rsidRPr="00804E70" w:rsidRDefault="00F46A95" w:rsidP="00804E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46A95" w:rsidRPr="00804E70" w:rsidRDefault="00F46A95" w:rsidP="00804E7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en-US" w:eastAsia="ru-RU"/>
        </w:rPr>
      </w:pPr>
      <w:r w:rsidRPr="00804E70">
        <w:rPr>
          <w:rFonts w:ascii="Times New Roman" w:hAnsi="Times New Roman"/>
          <w:i/>
          <w:sz w:val="24"/>
          <w:szCs w:val="24"/>
          <w:lang w:val="en-US" w:eastAsia="ru-RU"/>
        </w:rPr>
        <w:t xml:space="preserve">The article discusses main </w:t>
      </w:r>
      <w:r>
        <w:rPr>
          <w:rFonts w:ascii="Times New Roman" w:hAnsi="Times New Roman"/>
          <w:i/>
          <w:sz w:val="24"/>
          <w:szCs w:val="24"/>
          <w:lang w:val="en-US" w:eastAsia="ru-RU"/>
        </w:rPr>
        <w:t>competitive advantages of Russian banks on modern period development of economic</w:t>
      </w:r>
      <w:r w:rsidRPr="00804E70">
        <w:rPr>
          <w:rFonts w:ascii="Times New Roman" w:hAnsi="Times New Roman"/>
          <w:i/>
          <w:sz w:val="24"/>
          <w:szCs w:val="24"/>
          <w:lang w:val="en-US" w:eastAsia="ru-RU"/>
        </w:rPr>
        <w:t xml:space="preserve">. Author made sorting of these </w:t>
      </w:r>
      <w:r w:rsidRPr="00F14178">
        <w:rPr>
          <w:rFonts w:ascii="Times New Roman" w:hAnsi="Times New Roman"/>
          <w:i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 w:eastAsia="ru-RU"/>
        </w:rPr>
        <w:t>advantages</w:t>
      </w:r>
      <w:r w:rsidRPr="00804E70">
        <w:rPr>
          <w:rFonts w:ascii="Times New Roman" w:hAnsi="Times New Roman"/>
          <w:i/>
          <w:sz w:val="24"/>
          <w:szCs w:val="24"/>
          <w:lang w:val="en-US" w:eastAsia="ru-RU"/>
        </w:rPr>
        <w:t xml:space="preserve"> and </w:t>
      </w:r>
      <w:r>
        <w:rPr>
          <w:rFonts w:ascii="Times New Roman" w:hAnsi="Times New Roman"/>
          <w:i/>
          <w:sz w:val="24"/>
          <w:szCs w:val="24"/>
          <w:lang w:val="en-US" w:eastAsia="ru-RU"/>
        </w:rPr>
        <w:t xml:space="preserve">made analyze  </w:t>
      </w:r>
      <w:r w:rsidRPr="00804E70">
        <w:rPr>
          <w:rFonts w:ascii="Times New Roman" w:hAnsi="Times New Roman"/>
          <w:i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 w:eastAsia="ru-RU"/>
        </w:rPr>
        <w:t xml:space="preserve">offered indexes during 2007-2011 years. Compare of this indexes with indexes of foreign banks allowed make conclusion about necessity taking government steps to improve  competitive advantages of Russian banks. </w:t>
      </w:r>
    </w:p>
    <w:p w:rsidR="00F46A95" w:rsidRPr="00FE4D58" w:rsidRDefault="00F46A95" w:rsidP="00804E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 w:eastAsia="ru-RU"/>
        </w:rPr>
      </w:pPr>
      <w:r w:rsidRPr="00FE4D58">
        <w:rPr>
          <w:rFonts w:ascii="Times New Roman" w:hAnsi="Times New Roman"/>
          <w:sz w:val="24"/>
          <w:szCs w:val="24"/>
          <w:lang w:val="en-US" w:eastAsia="ru-RU"/>
        </w:rPr>
        <w:t>Key words: banks, competitive advantages,  compare of  indexes, analyze   offered indexe</w:t>
      </w:r>
      <w:r>
        <w:rPr>
          <w:rFonts w:ascii="Times New Roman" w:hAnsi="Times New Roman"/>
          <w:sz w:val="24"/>
          <w:szCs w:val="24"/>
          <w:lang w:val="en-US" w:eastAsia="ru-RU"/>
        </w:rPr>
        <w:t>s,</w:t>
      </w:r>
      <w:r w:rsidRPr="00FE4D58">
        <w:rPr>
          <w:rFonts w:ascii="Times New Roman" w:hAnsi="Times New Roman"/>
          <w:sz w:val="24"/>
          <w:szCs w:val="24"/>
          <w:lang w:val="en-US" w:eastAsia="ru-RU"/>
        </w:rPr>
        <w:t xml:space="preserve"> sorting of.</w:t>
      </w:r>
    </w:p>
    <w:p w:rsidR="00F46A95" w:rsidRPr="00804E70" w:rsidRDefault="00F46A95" w:rsidP="009E639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 w:eastAsia="ru-RU"/>
        </w:rPr>
      </w:pPr>
      <w:bookmarkStart w:id="1" w:name="_GoBack"/>
      <w:bookmarkEnd w:id="1"/>
    </w:p>
    <w:p w:rsidR="00F46A95" w:rsidRPr="009E6394" w:rsidRDefault="00F46A95" w:rsidP="009E639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9E6394">
        <w:rPr>
          <w:rFonts w:ascii="Times New Roman" w:hAnsi="Times New Roman"/>
          <w:b/>
          <w:sz w:val="28"/>
          <w:szCs w:val="28"/>
          <w:lang w:eastAsia="ru-RU"/>
        </w:rPr>
        <w:t>Конкурентоспособность и конкурентные преимущества российских банков на современном этапе развития.</w:t>
      </w:r>
    </w:p>
    <w:p w:rsidR="00F46A95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 xml:space="preserve">Обладание конкурентными преимуществами позволяет коммерческому банку занять прочную позицию на рынке банковских услуг. 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На практике конкурентные преимущества банка могут иметь разнообразные формы: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Имидж банка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Величина уставного капитала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Высокое качество оказываемых услуг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Наличие валютной или генеральной лицензии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Устойчивая клиентская база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Корреспондентская сеть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Система расчетов и спектр оказываемых услуг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Наличие филиальной сети и перспективы ее расширения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Действенная реклама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Квалификация работников.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 xml:space="preserve"> Грамотный менеджмент. </w:t>
      </w:r>
    </w:p>
    <w:p w:rsidR="00F46A95" w:rsidRPr="009E6394" w:rsidRDefault="00F46A95" w:rsidP="00FE489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Накопленный опыт работы и т.д.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Необходимо отметить, что в настоящее время российские банки с трудом конкурируют с иностранными коллегами не только на международном уровне, но даже на внутреннем рынке.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Проблем порождающих эту не конкурентоспособность, много: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6394">
        <w:rPr>
          <w:rFonts w:ascii="Times New Roman" w:hAnsi="Times New Roman"/>
          <w:sz w:val="24"/>
          <w:szCs w:val="24"/>
        </w:rPr>
        <w:t>-Сравнительно небольшие собственный капитал, активы и рыночная капитализация почти всех российских банков (исключение составляет лишь Сберегательный банк Российской Федерации, да и то скорее только по рыночной капитализации);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6394">
        <w:rPr>
          <w:rFonts w:ascii="Times New Roman" w:hAnsi="Times New Roman"/>
          <w:sz w:val="24"/>
          <w:szCs w:val="24"/>
        </w:rPr>
        <w:t>-Менее привлекательные бренды почти всех российских банков;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6394">
        <w:rPr>
          <w:rFonts w:ascii="Times New Roman" w:hAnsi="Times New Roman"/>
          <w:sz w:val="24"/>
          <w:szCs w:val="24"/>
        </w:rPr>
        <w:t>-Слабый охват территориальными офисами и другими коммуникациями российских банков территории страны, особенно отдаленных уголков;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6394">
        <w:rPr>
          <w:rFonts w:ascii="Times New Roman" w:hAnsi="Times New Roman"/>
          <w:sz w:val="24"/>
          <w:szCs w:val="24"/>
        </w:rPr>
        <w:t>-Отстающее от международных стандартов качество обслуживания клиентов;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6394">
        <w:rPr>
          <w:rFonts w:ascii="Times New Roman" w:hAnsi="Times New Roman"/>
          <w:sz w:val="24"/>
          <w:szCs w:val="24"/>
        </w:rPr>
        <w:t>-Более узкий спектр операций, проводимых большинством российских банков по сравнению с их иностранными аналогами;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6394">
        <w:rPr>
          <w:rFonts w:ascii="Times New Roman" w:hAnsi="Times New Roman"/>
          <w:sz w:val="24"/>
          <w:szCs w:val="24"/>
        </w:rPr>
        <w:t>-Нехватка дешевых и долгосрочных пассивов;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6394">
        <w:rPr>
          <w:rFonts w:ascii="Times New Roman" w:hAnsi="Times New Roman"/>
          <w:sz w:val="24"/>
          <w:szCs w:val="24"/>
        </w:rPr>
        <w:t>-Проблема с ликвидностью активов у большинства банков, не входящих в первую федеральную или московскую сотню;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6394">
        <w:rPr>
          <w:rFonts w:ascii="Times New Roman" w:hAnsi="Times New Roman"/>
          <w:sz w:val="24"/>
          <w:szCs w:val="24"/>
        </w:rPr>
        <w:t>-Слабый риск менеджмент и неквалифицированное управление;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6394">
        <w:rPr>
          <w:rFonts w:ascii="Times New Roman" w:hAnsi="Times New Roman"/>
          <w:sz w:val="24"/>
          <w:szCs w:val="24"/>
        </w:rPr>
        <w:t>-Лишь нарождающийся рынок банковских акций, отсутствие акций подавляющего большинства банков на открытом рынке, медленная подготовка к выходу российских банков на IPO;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6394">
        <w:rPr>
          <w:rFonts w:ascii="Times New Roman" w:hAnsi="Times New Roman"/>
          <w:sz w:val="24"/>
          <w:szCs w:val="24"/>
        </w:rPr>
        <w:t>-Недостаточная по международным нормам прозрачность операций, собственников (конечных бенефициаров акций), аффилированных лиц у многих, даже крупных российских банков;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9E6394">
        <w:rPr>
          <w:rFonts w:ascii="Times New Roman" w:hAnsi="Times New Roman"/>
          <w:sz w:val="24"/>
          <w:szCs w:val="24"/>
        </w:rPr>
        <w:t>-Отсутствие мотивации к выходу на международные рынки и ряд других [</w:t>
      </w:r>
      <w:r>
        <w:rPr>
          <w:rFonts w:ascii="Times New Roman" w:hAnsi="Times New Roman"/>
          <w:sz w:val="24"/>
          <w:szCs w:val="24"/>
        </w:rPr>
        <w:t>1</w:t>
      </w:r>
      <w:r w:rsidRPr="009E6394">
        <w:rPr>
          <w:rFonts w:ascii="Times New Roman" w:hAnsi="Times New Roman"/>
          <w:sz w:val="24"/>
          <w:szCs w:val="24"/>
        </w:rPr>
        <w:t>,</w:t>
      </w:r>
      <w:r w:rsidRPr="009E6394">
        <w:rPr>
          <w:rFonts w:ascii="Times New Roman" w:hAnsi="Times New Roman"/>
          <w:sz w:val="24"/>
          <w:szCs w:val="24"/>
          <w:lang w:val="en-US"/>
        </w:rPr>
        <w:t>c</w:t>
      </w:r>
      <w:r w:rsidRPr="009E6394">
        <w:rPr>
          <w:rFonts w:ascii="Times New Roman" w:hAnsi="Times New Roman"/>
          <w:sz w:val="24"/>
          <w:szCs w:val="24"/>
        </w:rPr>
        <w:t xml:space="preserve"> 41] .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В рейтинге авторитетного журнала «</w:t>
      </w:r>
      <w:r w:rsidRPr="009E6394">
        <w:rPr>
          <w:rFonts w:ascii="Times New Roman" w:hAnsi="Times New Roman"/>
          <w:sz w:val="24"/>
          <w:szCs w:val="24"/>
          <w:lang w:val="en-US" w:eastAsia="ru-RU"/>
        </w:rPr>
        <w:t>Forbs</w:t>
      </w:r>
      <w:r w:rsidRPr="009E6394">
        <w:rPr>
          <w:rFonts w:ascii="Times New Roman" w:hAnsi="Times New Roman"/>
          <w:sz w:val="24"/>
          <w:szCs w:val="24"/>
          <w:lang w:eastAsia="ru-RU"/>
        </w:rPr>
        <w:t>» за 2005 г. Сбербанк России занимал 74-е место в мире по показателю собственного капитала, а если бы все российские банки объединились, они бы заняли в этом рейтинге лишь 26-е место [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9E6394">
        <w:rPr>
          <w:rFonts w:ascii="Times New Roman" w:hAnsi="Times New Roman"/>
          <w:sz w:val="24"/>
          <w:szCs w:val="24"/>
          <w:lang w:eastAsia="ru-RU"/>
        </w:rPr>
        <w:t>].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 xml:space="preserve">Агентство  </w:t>
      </w:r>
      <w:r w:rsidRPr="009E6394">
        <w:rPr>
          <w:rFonts w:ascii="Times New Roman" w:hAnsi="Times New Roman"/>
          <w:sz w:val="24"/>
          <w:szCs w:val="24"/>
          <w:lang w:val="en-US" w:eastAsia="ru-RU"/>
        </w:rPr>
        <w:t>Standard</w:t>
      </w:r>
      <w:r w:rsidRPr="009E6394">
        <w:rPr>
          <w:rFonts w:ascii="Times New Roman" w:hAnsi="Times New Roman"/>
          <w:sz w:val="24"/>
          <w:szCs w:val="24"/>
          <w:lang w:eastAsia="ru-RU"/>
        </w:rPr>
        <w:t>&amp;</w:t>
      </w:r>
      <w:r w:rsidRPr="009E6394">
        <w:rPr>
          <w:rFonts w:ascii="Times New Roman" w:hAnsi="Times New Roman"/>
          <w:sz w:val="24"/>
          <w:szCs w:val="24"/>
          <w:lang w:val="en-US" w:eastAsia="ru-RU"/>
        </w:rPr>
        <w:t>Poor</w:t>
      </w:r>
      <w:r w:rsidRPr="009E6394">
        <w:rPr>
          <w:rFonts w:ascii="Times New Roman" w:hAnsi="Times New Roman"/>
          <w:sz w:val="24"/>
          <w:szCs w:val="24"/>
          <w:lang w:eastAsia="ru-RU"/>
        </w:rPr>
        <w:t>’</w:t>
      </w:r>
      <w:r w:rsidRPr="009E6394">
        <w:rPr>
          <w:rFonts w:ascii="Times New Roman" w:hAnsi="Times New Roman"/>
          <w:sz w:val="24"/>
          <w:szCs w:val="24"/>
          <w:lang w:val="en-US" w:eastAsia="ru-RU"/>
        </w:rPr>
        <w:t>s</w:t>
      </w:r>
      <w:r w:rsidRPr="009E6394">
        <w:rPr>
          <w:rFonts w:ascii="Times New Roman" w:hAnsi="Times New Roman"/>
          <w:sz w:val="24"/>
          <w:szCs w:val="24"/>
          <w:lang w:eastAsia="ru-RU"/>
        </w:rPr>
        <w:t xml:space="preserve"> отмечает низкий рост капитализации и уровень достаточности капитала большинства российских банков [3].</w:t>
      </w:r>
    </w:p>
    <w:p w:rsidR="00F46A95" w:rsidRPr="009E6394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>Капитал российских и зарубежных банков на конец 2010 года (млрд. долларов) представлен на рис. 1</w:t>
      </w:r>
    </w:p>
    <w:p w:rsidR="00F46A95" w:rsidRPr="00DF1BE3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17E70">
        <w:rPr>
          <w:rFonts w:ascii="Times New Roman" w:hAnsi="Times New Roman"/>
          <w:noProof/>
          <w:sz w:val="28"/>
          <w:szCs w:val="28"/>
          <w:lang w:eastAsia="ru-RU"/>
        </w:rPr>
        <w:object w:dxaOrig="5924" w:dyaOrig="17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1" o:spid="_x0000_i1025" type="#_x0000_t75" style="width:374.4pt;height:135.6pt;visibility:visible" o:ole="">
            <v:imagedata r:id="rId6" o:title="" croptop="-9716f" cropbottom="-26597f" cropleft="-1803f" cropright="-15477f"/>
            <o:lock v:ext="edit" aspectratio="f"/>
          </v:shape>
          <o:OLEObject Type="Embed" ProgID="Excel.Sheet.8" ShapeID="Диаграмма 1" DrawAspect="Content" ObjectID="_1399227013" r:id="rId7"/>
        </w:objec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Рис. 1 Капитал российских и зарубежных банков на конец 2010 года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Конкурентоспособность и конкурентные преимущества российских банков на современном этапе развития, по мнению автора  необходимо начать с исследования конкурентоспособности банковского сектора России в целом.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Под конкурентоспособностью банковского сектора в целом следует понимать его способность обеспечивать лучшее предложение по сравнению с конкурентами (зарубежными банковскими секторами)  на базе обладания конкурентными преимуществами.</w:t>
      </w:r>
    </w:p>
    <w:p w:rsidR="00F46A95" w:rsidRPr="009D2ACD" w:rsidRDefault="00F46A95" w:rsidP="009E639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Показатели, характеризующие конкурентоспособность и конкурентные преимущества российской банковской системы на современном этапе систематизированы </w:t>
      </w:r>
      <w:r>
        <w:rPr>
          <w:rFonts w:ascii="Times New Roman" w:hAnsi="Times New Roman"/>
          <w:sz w:val="24"/>
          <w:szCs w:val="24"/>
          <w:lang w:eastAsia="ru-RU"/>
        </w:rPr>
        <w:t>автором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и представлены на рис. 2.</w: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3" o:spid="_x0000_s1026" type="#_x0000_t202" style="position:absolute;left:0;text-align:left;margin-left:-19.8pt;margin-top:4.8pt;width:474.75pt;height:45pt;z-index:25163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" fillcolor="#e36c0a" strokeweight="1pt">
            <v:textbox>
              <w:txbxContent>
                <w:p w:rsidR="00F46A95" w:rsidRPr="00AF10A4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4"/>
                    </w:rPr>
                  </w:pPr>
                  <w:r w:rsidRPr="00AF10A4">
                    <w:rPr>
                      <w:rFonts w:ascii="Times New Roman" w:hAnsi="Times New Roman"/>
                      <w:color w:val="000000"/>
                      <w:sz w:val="24"/>
                      <w:szCs w:val="24"/>
                    </w:rPr>
                    <w:t>Показатели, характеризующие конкурентоспособность и конкурентные преимущества российских банков</w:t>
                  </w:r>
                </w:p>
              </w:txbxContent>
            </v:textbox>
          </v:shap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pict>
          <v:line id="Прямая соединительная линия 73" o:spid="_x0000_s1027" style="position:absolute;left:0;text-align:left;z-index:251660800;visibility:visible;mso-wrap-distance-left:3.17497mm;mso-wrap-distance-right:3.17497mm" from="30.45pt,1.8pt" to="30.45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70" o:spid="_x0000_s1028" style="position:absolute;left:0;text-align:left;z-index:251657728;visibility:visible;mso-wrap-distance-left:3.17497mm;mso-wrap-distance-right:3.17497mm" from="99.45pt,1.8pt" to="99.45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74" o:spid="_x0000_s1029" style="position:absolute;left:0;text-align:left;z-index:251661824;visibility:visible" from="414.45pt,1.95pt" to="415.2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72" o:spid="_x0000_s1030" style="position:absolute;left:0;text-align:left;z-index:251659776;visibility:visible" from="301.2pt,1.95pt" to="301.95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71" o:spid="_x0000_s1031" style="position:absolute;left:0;text-align:left;z-index:251658752;visibility:visible" from="198.45pt,1.95pt" to="199.2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" strokecolor="#4a7ebb">
            <o:lock v:ext="edit" shapetype="f"/>
          </v:lin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pict>
          <v:shape id="Поле 22" o:spid="_x0000_s1032" type="#_x0000_t202" style="position:absolute;left:0;text-align:left;margin-left:160.95pt;margin-top:4.7pt;width:89.25pt;height:81.75pt;z-index: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" fillcolor="#00b0f0" strokeweight="2pt">
            <v:textbox>
              <w:txbxContent>
                <w:p w:rsidR="00F46A95" w:rsidRPr="00AF10A4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AF10A4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 надежности банковского сектора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21" o:spid="_x0000_s1033" type="#_x0000_t202" style="position:absolute;left:0;text-align:left;margin-left:261.45pt;margin-top:7.05pt;width:81.75pt;height:81.75pt;z-index: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" fillcolor="#7030a0" strokeweight="2pt">
            <v:textbox>
              <w:txbxContent>
                <w:p w:rsidR="00F46A95" w:rsidRPr="00AF10A4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AF10A4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 структуры активов и пассивов</w:t>
                  </w:r>
                  <w:r w:rsidRPr="00AF10A4">
                    <w:rPr>
                      <w:rFonts w:ascii="Times New Roman" w:hAnsi="Times New Roman"/>
                      <w:color w:val="000000"/>
                    </w:rPr>
                    <w:t xml:space="preserve">  </w:t>
                  </w:r>
                  <w:r w:rsidRPr="00AF10A4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банков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20" o:spid="_x0000_s1034" type="#_x0000_t202" style="position:absolute;left:0;text-align:left;margin-left:-19.8pt;margin-top:5.5pt;width:71.25pt;height:81.75pt;z-index:25163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" fillcolor="#ffc000" strokeweight="2pt">
            <v:textbox>
              <w:txbxContent>
                <w:p w:rsidR="00F46A95" w:rsidRPr="00AF10A4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AF10A4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 размеров банковского сектора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19" o:spid="_x0000_s1035" type="#_x0000_t202" style="position:absolute;left:0;text-align:left;margin-left:367.2pt;margin-top:5.55pt;width:88.5pt;height:81.75pt;z-index: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" fillcolor="#d99594" strokeweight="2pt">
            <v:textbox>
              <w:txbxContent>
                <w:p w:rsidR="00F46A95" w:rsidRPr="00AF10A4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AF10A4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 прибыльности и рентабельности банковского</w:t>
                  </w:r>
                  <w:r w:rsidRPr="00AF10A4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  <w:r w:rsidRPr="00AF10A4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сектора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18" o:spid="_x0000_s1036" type="#_x0000_t202" style="position:absolute;left:0;text-align:left;margin-left:67.95pt;margin-top:5.5pt;width:80.25pt;height:81.75pt;z-index:25163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" fillcolor="#92d050" strokeweight="2pt">
            <v:textbox>
              <w:txbxContent>
                <w:p w:rsidR="00F46A95" w:rsidRPr="00AF10A4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8A7E6D">
                    <w:rPr>
                      <w:rFonts w:ascii="Times New Roman" w:hAnsi="Times New Roman"/>
                      <w:sz w:val="16"/>
                      <w:szCs w:val="16"/>
                    </w:rPr>
                    <w:t xml:space="preserve">Показатели </w:t>
                  </w:r>
                  <w:r w:rsidRPr="00AF10A4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концентрации и обеспеченности</w:t>
                  </w:r>
                  <w:r w:rsidRPr="00AF10A4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  <w:r w:rsidRPr="00AF10A4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банковскими услугами</w:t>
                  </w:r>
                </w:p>
              </w:txbxContent>
            </v:textbox>
          </v:shap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pict>
          <v:line id="Прямая соединительная линия 91" o:spid="_x0000_s1037" style="position:absolute;left:0;text-align:left;z-index:251668992;visibility:visible" from="414.1pt,16.05pt" to="414.85pt,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90" o:spid="_x0000_s1038" style="position:absolute;left:0;text-align:left;z-index:251667968;visibility:visible" from="307.75pt,16.1pt" to="308.5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89" o:spid="_x0000_s1039" style="position:absolute;left:0;text-align:left;z-index:251666944;visibility:visible" from="205.25pt,12.55pt" to="206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77" o:spid="_x0000_s1040" style="position:absolute;left:0;text-align:left;z-index:251664896;visibility:visible;mso-wrap-distance-left:3.17497mm;mso-wrap-distance-right:3.17497mm" from="111.45pt,14.85pt" to="111.45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75" o:spid="_x0000_s1041" style="position:absolute;left:0;text-align:left;z-index:251662848;visibility:visible" from="14.7pt,14.85pt" to="15.45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" strokecolor="#4a7ebb">
            <o:lock v:ext="edit" shapetype="f"/>
          </v:lin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pict>
          <v:shape id="Поле 17" o:spid="_x0000_s1042" type="#_x0000_t202" style="position:absolute;left:0;text-align:left;margin-left:-15pt;margin-top:11.55pt;width:62.25pt;height:62.9pt;z-index:25164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" fillcolor="#ffc000" strokeweight=".5pt">
            <v:textbox>
              <w:txbxContent>
                <w:p w:rsidR="00F46A95" w:rsidRPr="00AF10A4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8A7E6D">
                    <w:rPr>
                      <w:rFonts w:ascii="Times New Roman" w:hAnsi="Times New Roman"/>
                      <w:sz w:val="16"/>
                      <w:szCs w:val="16"/>
                    </w:rPr>
                    <w:t xml:space="preserve">Показатели </w:t>
                  </w:r>
                  <w:r w:rsidRPr="00AF10A4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активов, капитала банковского</w:t>
                  </w:r>
                  <w:r w:rsidRPr="00AF10A4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  <w:r w:rsidRPr="00AF10A4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сектора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16" o:spid="_x0000_s1043" type="#_x0000_t202" style="position:absolute;left:0;text-align:left;margin-left:169.8pt;margin-top:16.2pt;width:75pt;height:52.5pt;z-index:25164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" fillcolor="#00b0f0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 достаточности капитала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15" o:spid="_x0000_s1044" type="#_x0000_t202" style="position:absolute;left:0;text-align:left;margin-left:271.2pt;margin-top:19.95pt;width:75.75pt;height:62.25pt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" fillcolor="#7030a0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Динамические показатели</w:t>
                  </w:r>
                  <w:r w:rsidRPr="008857F3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долей различных  активов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14" o:spid="_x0000_s1045" type="#_x0000_t202" style="position:absolute;left:0;text-align:left;margin-left:376.2pt;margin-top:19.95pt;width:79.5pt;height:48.75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" fillcolor="#d99594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Рентабельность активов банка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13" o:spid="_x0000_s1046" type="#_x0000_t202" style="position:absolute;left:0;text-align:left;margin-left:71.7pt;margin-top:11.7pt;width:80.25pt;height:57pt;z-index:25164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" fillcolor="#92d050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 концентрации банковского рынка</w:t>
                  </w:r>
                </w:p>
              </w:txbxContent>
            </v:textbox>
          </v:shap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pict>
          <v:line id="Прямая соединительная линия 98" o:spid="_x0000_s1047" style="position:absolute;left:0;text-align:left;z-index:251676160;visibility:visible;mso-wrap-distance-left:3.17497mm;mso-wrap-distance-right:3.17497mm" from="415.15pt,20.25pt" to="415.15pt,4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93" o:spid="_x0000_s1048" style="position:absolute;left:0;text-align:left;z-index:251671040;visibility:visible;mso-wrap-distance-left:3.17497mm;mso-wrap-distance-right:3.17497mm" from="205.65pt,20.25pt" to="205.65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78" o:spid="_x0000_s1049" style="position:absolute;left:0;text-align:left;z-index:251665920;visibility:visible;mso-wrap-distance-left:3.17497mm;mso-wrap-distance-right:3.17497mm" from="111.45pt,20.4pt" to="111.45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" strokecolor="#4a7ebb">
            <o:lock v:ext="edit" shapetype="f"/>
          </v:lin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pict>
          <v:line id="Прямая соединительная линия 76" o:spid="_x0000_s1050" style="position:absolute;left:0;text-align:left;z-index:251663872;visibility:visible;mso-wrap-distance-left:3.17497mm;mso-wrap-distance-right:3.17497mm" from="14.8pt,2pt" to="14.8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" strokecolor="#4a7ebb">
            <o:lock v:ext="edit" shapetype="f"/>
          </v:line>
        </w:pict>
      </w:r>
      <w:r>
        <w:rPr>
          <w:noProof/>
          <w:lang w:eastAsia="ru-RU"/>
        </w:rPr>
        <w:pict>
          <v:line id="Прямая соединительная линия 92" o:spid="_x0000_s1051" style="position:absolute;left:0;text-align:left;z-index:251670016;visibility:visible;mso-wrap-distance-left:3.17497mm;mso-wrap-distance-right:3.17497mm" from="307.4pt,9.7pt" to="307.4pt,4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" strokecolor="#4a7ebb">
            <o:lock v:ext="edit" shapetype="f"/>
          </v:line>
        </w:pict>
      </w:r>
      <w:r>
        <w:rPr>
          <w:noProof/>
          <w:lang w:eastAsia="ru-RU"/>
        </w:rPr>
        <w:pict>
          <v:shape id="Поле 12" o:spid="_x0000_s1052" type="#_x0000_t202" style="position:absolute;left:0;text-align:left;margin-left:78.45pt;margin-top:20.25pt;width:78.75pt;height:78pt;z-index:25164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" fillcolor="#92d050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Показатели, характеризующие обеспеченность</w:t>
                  </w:r>
                  <w:r w:rsidRPr="008857F3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регионов банковскими</w:t>
                  </w:r>
                  <w:r w:rsidRPr="008857F3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услугами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11" o:spid="_x0000_s1053" type="#_x0000_t202" style="position:absolute;left:0;text-align:left;margin-left:169.8pt;margin-top:9.75pt;width:80.25pt;height:36.75pt;z-index:25164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" fillcolor="#00b0f0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 ликвидности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10" o:spid="_x0000_s1054" type="#_x0000_t202" style="position:absolute;left:0;text-align:left;margin-left:380.7pt;margin-top:16.5pt;width:75pt;height:46.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" fillcolor="#d99594" strokeweight=".5pt">
            <v:textbox>
              <w:txbxContent>
                <w:p w:rsidR="00F46A95" w:rsidRPr="008857F3" w:rsidRDefault="00F46A95" w:rsidP="009E6394">
                  <w:pPr>
                    <w:rPr>
                      <w:rFonts w:ascii="Times New Roman" w:hAnsi="Times New Roman"/>
                      <w:color w:val="000000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Рентабельность капитала</w:t>
                  </w:r>
                  <w:r w:rsidRPr="008857F3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банков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9" o:spid="_x0000_s1055" type="#_x0000_t202" style="position:absolute;left:0;text-align:left;margin-left:-15.3pt;margin-top:20.25pt;width:62.25pt;height:67.5pt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" fillcolor="#ffc000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 отдельных видов активов и</w:t>
                  </w:r>
                  <w:r w:rsidRPr="008857F3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пассивов</w:t>
                  </w:r>
                </w:p>
              </w:txbxContent>
            </v:textbox>
          </v:shap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pict>
          <v:line id="Прямая соединительная линия 94" o:spid="_x0000_s1056" style="position:absolute;left:0;text-align:left;z-index:251672064;visibility:visible;mso-wrap-distance-left:3.17497mm;mso-wrap-distance-right:3.17497mm" from="204.9pt,22.3pt" to="204.9pt,4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" strokecolor="#4a7ebb">
            <o:lock v:ext="edit" shapetype="f"/>
          </v:line>
        </w:pict>
      </w:r>
      <w:r>
        <w:rPr>
          <w:noProof/>
          <w:lang w:eastAsia="ru-RU"/>
        </w:rPr>
        <w:pict>
          <v:shape id="Поле 8" o:spid="_x0000_s1057" type="#_x0000_t202" style="position:absolute;left:0;text-align:left;margin-left:271.2pt;margin-top:17.1pt;width:84pt;height:52.5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" fillcolor="#7030a0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Динамические показатели долей различных</w:t>
                  </w:r>
                  <w:r w:rsidRPr="008857F3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видов пассивов</w:t>
                  </w:r>
                </w:p>
              </w:txbxContent>
            </v:textbox>
          </v:shap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pict>
          <v:shape id="Поле 7" o:spid="_x0000_s1058" type="#_x0000_t202" style="position:absolute;left:0;text-align:left;margin-left:169.85pt;margin-top:19.85pt;width:80.25pt;height:30pt;z-index:25164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" fillcolor="#00b0f0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 кредитного  риска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Прямая соединительная линия 97" o:spid="_x0000_s1059" style="position:absolute;left:0;text-align:left;z-index:251675136;visibility:visible" from="418.95pt,14.4pt" to="419.6pt,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" strokecolor="#4a7ebb">
            <o:lock v:ext="edit" shapetype="f"/>
          </v:lin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pict>
          <v:shape id="Поле 6" o:spid="_x0000_s1060" type="#_x0000_t202" style="position:absolute;left:0;text-align:left;margin-left:385.2pt;margin-top:10.6pt;width:76.5pt;height:27.85pt;z-index:251677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" fillcolor="#d99594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Общая рентабельность</w:t>
                  </w:r>
                </w:p>
              </w:txbxContent>
            </v:textbox>
          </v:shap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2" w:name="_Toc310617116"/>
      <w:bookmarkStart w:id="3" w:name="_Toc310757664"/>
      <w:bookmarkStart w:id="4" w:name="_Toc311017071"/>
      <w:r>
        <w:rPr>
          <w:noProof/>
          <w:lang w:eastAsia="ru-RU"/>
        </w:rPr>
        <w:pict>
          <v:line id="Прямая соединительная линия 96" o:spid="_x0000_s1061" style="position:absolute;left:0;text-align:left;z-index:251674112;visibility:visible;mso-wrap-distance-left:3.17497mm;mso-wrap-distance-right:3.17497mm" from="419.55pt,6.8pt" to="419.5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" strokecolor="#4a7ebb">
            <o:lock v:ext="edit" shapetype="f"/>
          </v:line>
        </w:pict>
      </w:r>
      <w:bookmarkEnd w:id="2"/>
      <w:bookmarkEnd w:id="3"/>
      <w:bookmarkEnd w:id="4"/>
      <w:r>
        <w:rPr>
          <w:noProof/>
          <w:lang w:eastAsia="ru-RU"/>
        </w:rPr>
        <w:pict>
          <v:shape id="Поле 5" o:spid="_x0000_s1062" type="#_x0000_t202" style="position:absolute;left:0;text-align:left;margin-left:169.85pt;margin-top:16.35pt;width:80.25pt;height:30.5pt;z-index:25165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" fillcolor="#00b0f0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Показатели рыночного риска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Прямая соединительная линия 95" o:spid="_x0000_s1063" style="position:absolute;left:0;text-align:left;z-index:251673088;visibility:visible;mso-wrap-distance-left:3.17497mm;mso-wrap-distance-right:3.17497mm" from="205.6pt,2.9pt" to="205.6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" strokecolor="#4a7ebb">
            <o:lock v:ext="edit" shapetype="f"/>
          </v:lin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pict>
          <v:shape id="Поле 4" o:spid="_x0000_s1064" type="#_x0000_t202" style="position:absolute;left:0;text-align:left;margin-left:385.2pt;margin-top:3.95pt;width:76.5pt;height:27.8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" fillcolor="#d99594" strokeweight=".5pt">
            <v:textbox>
              <w:txbxContent>
                <w:p w:rsidR="00F46A95" w:rsidRPr="008857F3" w:rsidRDefault="00F46A95" w:rsidP="009E6394">
                  <w:pPr>
                    <w:jc w:val="center"/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Чистый текущий доход</w:t>
                  </w:r>
                </w:p>
              </w:txbxContent>
            </v:textbox>
          </v:shape>
        </w:pict>
      </w:r>
    </w:p>
    <w:p w:rsidR="00F46A95" w:rsidRPr="009E6394" w:rsidRDefault="00F46A95" w:rsidP="009E639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3" o:spid="_x0000_s1065" type="#_x0000_t32" style="position:absolute;left:0;text-align:left;margin-left:419.6pt;margin-top:7.65pt;width:0;height:13.7pt;z-index:251678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" strokeweight=".5pt"/>
        </w:pict>
      </w:r>
      <w:r>
        <w:rPr>
          <w:noProof/>
          <w:lang w:eastAsia="ru-RU"/>
        </w:rPr>
        <w:pict>
          <v:shape id="Поле 2" o:spid="_x0000_s1066" type="#_x0000_t202" style="position:absolute;left:0;text-align:left;margin-left:385.2pt;margin-top:21.35pt;width:76.5pt;height:20.1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" fillcolor="#d99594" strokeweight=".5pt">
            <v:textbox>
              <w:txbxContent>
                <w:p w:rsidR="00F46A95" w:rsidRPr="008857F3" w:rsidRDefault="00F46A95" w:rsidP="009E6394">
                  <w:pPr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</w:pPr>
                  <w:r w:rsidRPr="008857F3">
                    <w:rPr>
                      <w:rFonts w:ascii="Times New Roman" w:hAnsi="Times New Roman"/>
                      <w:color w:val="000000"/>
                      <w:sz w:val="16"/>
                      <w:szCs w:val="16"/>
                    </w:rPr>
                    <w:t>Темпы прибыли</w:t>
                  </w:r>
                </w:p>
              </w:txbxContent>
            </v:textbox>
          </v:shape>
        </w:pict>
      </w:r>
    </w:p>
    <w:p w:rsidR="00F46A95" w:rsidRPr="009E6394" w:rsidRDefault="00F46A95" w:rsidP="009E639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46A95" w:rsidRPr="009E6394" w:rsidRDefault="00F46A95" w:rsidP="009E639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46A95" w:rsidRPr="009E6394" w:rsidRDefault="00F46A95" w:rsidP="009E639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46A95" w:rsidRPr="009E6394" w:rsidRDefault="00F46A95" w:rsidP="009E639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394">
        <w:rPr>
          <w:rFonts w:ascii="Times New Roman" w:hAnsi="Times New Roman"/>
          <w:sz w:val="24"/>
          <w:szCs w:val="24"/>
          <w:lang w:eastAsia="ru-RU"/>
        </w:rPr>
        <w:t xml:space="preserve">Рис. 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9E6394">
        <w:rPr>
          <w:rFonts w:ascii="Times New Roman" w:hAnsi="Times New Roman"/>
          <w:sz w:val="24"/>
          <w:szCs w:val="24"/>
          <w:lang w:eastAsia="ru-RU"/>
        </w:rPr>
        <w:t xml:space="preserve"> Показатели, характеризующие конкурентоспособность и конкурентные преимущества российской банковской системы.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К показателям,  характеризующим размеры банковского сектора следует относить:</w:t>
      </w:r>
    </w:p>
    <w:p w:rsidR="00F46A95" w:rsidRPr="009D2ACD" w:rsidRDefault="00F46A95" w:rsidP="00FE4892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Активы (пассивы) банковского сектора в национальной валюте и в процентном отношении к ВВП;</w:t>
      </w:r>
    </w:p>
    <w:p w:rsidR="00F46A95" w:rsidRPr="009D2ACD" w:rsidRDefault="00F46A95" w:rsidP="00FE4892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Собственные средства (капитал) банковского сектора в национальной валюте,  в % к ВВП,  в % к активам банковского сектора (капитализация банковского сектора);</w:t>
      </w:r>
    </w:p>
    <w:p w:rsidR="00F46A95" w:rsidRPr="009D2ACD" w:rsidRDefault="00F46A95" w:rsidP="00FE4892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Кредиты, предоставленные нефинансовым предприятиям в национальной валюте,  в % к ВВП,  в % к активам банковского сектора;</w:t>
      </w:r>
    </w:p>
    <w:p w:rsidR="00F46A95" w:rsidRPr="009D2ACD" w:rsidRDefault="00F46A95" w:rsidP="00FE4892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Ценные бумаги, приобретенные банками в национальной валюте, в % к ВВП, в % к активам банковского сектора;</w:t>
      </w:r>
    </w:p>
    <w:p w:rsidR="00F46A95" w:rsidRPr="009D2ACD" w:rsidRDefault="00F46A95" w:rsidP="00FE4892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Вклады физических лиц в национальной валюте, в % к ВВП, к пассивам банковского сектора, в % к денежным доходам населения;</w:t>
      </w:r>
    </w:p>
    <w:p w:rsidR="00F46A95" w:rsidRPr="009D2ACD" w:rsidRDefault="00F46A95" w:rsidP="00FE4892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Средства, привлеченные от предприятий и организаций в национальной валюте, в % к ВВП, к пассивам банковского сектора.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Методологическая значимость этих показателей обусловлена, в первую очередь, неизбежностью конкуренции отечественных кредитных институтов с зарубежными банками ввиду либерализации валютного законодательства, и вступлению в ВТО. Сравнительный анализ таких показателей, как отношение активов и капиталов банков к ВВП в зарубежных странах, доля кредитования реального сектора экономики и домохозяйств в кредитном портфеле иностранных банков по сравнению с аналогичными показателями кредитных организаций, функционирующих в стране, даст адекватную оценку степени конкурентоспособности национального рынка банковских услуг.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 Показатели размеров банковского сектора с 01.01.07 до 01.01.11 гг. изменялись следующим образом:</w:t>
      </w:r>
    </w:p>
    <w:p w:rsidR="00F46A95" w:rsidRPr="009D2ACD" w:rsidRDefault="00F46A95" w:rsidP="00FE4892">
      <w:pPr>
        <w:pStyle w:val="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Совокупные активы банковского сектора к ВВП выросли с 51,9 %  до 75,2%; </w:t>
      </w:r>
    </w:p>
    <w:p w:rsidR="00F46A95" w:rsidRPr="009D2ACD" w:rsidRDefault="00F46A95" w:rsidP="00FE4892">
      <w:pPr>
        <w:pStyle w:val="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собственные средства банковского сектора к ВВП выросли с 6,13 % до 10,5%;</w:t>
      </w:r>
    </w:p>
    <w:p w:rsidR="00F46A95" w:rsidRPr="009D2ACD" w:rsidRDefault="00F46A95" w:rsidP="00FE4892">
      <w:pPr>
        <w:pStyle w:val="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кредиты и прочие размещенные средства, предоставленные нефинансовым организациям и физическим лицам (включая просроченную задолженность) к ВВП увеличились 29,8% до 40,4%; </w:t>
      </w:r>
    </w:p>
    <w:p w:rsidR="00F46A95" w:rsidRPr="009D2ACD" w:rsidRDefault="00F46A95" w:rsidP="00FE4892">
      <w:pPr>
        <w:pStyle w:val="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кредиты банков в инвестициях организаций всех форм собственности в основной капитал (без субъектов малого предпринимательства) к ВВП снизились с 9,6% до 8,9%; </w:t>
      </w:r>
    </w:p>
    <w:p w:rsidR="00F46A95" w:rsidRPr="009D2ACD" w:rsidRDefault="00F46A95" w:rsidP="00FE4892">
      <w:pPr>
        <w:pStyle w:val="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ценные бумаги, приобретенные кредитными организациями, к ВВП выросли с 6,5% до 13,0%; </w:t>
      </w:r>
    </w:p>
    <w:p w:rsidR="00F46A95" w:rsidRPr="009D2ACD" w:rsidRDefault="00F46A95" w:rsidP="00FE4892">
      <w:pPr>
        <w:pStyle w:val="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вклады физических лиц выросли с 14,2% до 21,8%;</w:t>
      </w:r>
    </w:p>
    <w:p w:rsidR="00F46A95" w:rsidRPr="009D2ACD" w:rsidRDefault="00F46A95" w:rsidP="00FE4892">
      <w:pPr>
        <w:pStyle w:val="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привлеченные средства от организаций увеличились с 17,8% до 24,8% за указанный выше период.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 стратегии развития банковского сектора до 2015 года предполагается, что к 1 января 2016 г. банковским сектором будут достигнуты следующие совокупные показатели:</w:t>
      </w:r>
    </w:p>
    <w:p w:rsidR="00F46A95" w:rsidRPr="009D2ACD" w:rsidRDefault="00F46A95" w:rsidP="00FE4892">
      <w:pPr>
        <w:pStyle w:val="1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активы/ВВП - более 90 процентов (на 1 января 2011 г. – 75,2 процентов);</w:t>
      </w:r>
    </w:p>
    <w:p w:rsidR="00F46A95" w:rsidRPr="009D2ACD" w:rsidRDefault="00F46A95" w:rsidP="00FE4892">
      <w:pPr>
        <w:pStyle w:val="1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капитал/ВВП - 14 - 15 процентов (на 1 января 2011 г. - 10,5 процента);</w:t>
      </w:r>
    </w:p>
    <w:p w:rsidR="00F46A95" w:rsidRPr="009D2ACD" w:rsidRDefault="00F46A95" w:rsidP="00FE4892">
      <w:pPr>
        <w:pStyle w:val="1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кредиты нефинансовым организациям и физическим лицам/ВВП - 55 - 60 процентов (на 1 января 2011 г. - 40,4 процента).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 настоящее время отношение активов к ВВП в зарубежных странах составляют: в Бразилии 133%, в Китае -144%, в европейских странах – от 200% и выше, в США – 102%, но там инвестиционная деятельность во многом отделена от банков и является предметом деятельности специальных инвестиционных компаний, по мощности и размерам, не уступающим банкам. Недостаточность активов банков свидетельствует о том, что они не в состоянии в полной мере обеспечить потребность предприятий и организаций страны в кредитных ресурсах [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9D2ACD">
        <w:rPr>
          <w:rFonts w:ascii="Times New Roman" w:hAnsi="Times New Roman"/>
          <w:sz w:val="24"/>
          <w:szCs w:val="24"/>
          <w:lang w:eastAsia="ru-RU"/>
        </w:rPr>
        <w:t>].</w:t>
      </w:r>
      <w:r w:rsidRPr="009D2ACD">
        <w:rPr>
          <w:rStyle w:val="FootnoteReference"/>
          <w:rFonts w:ascii="Times New Roman" w:hAnsi="Times New Roman"/>
          <w:sz w:val="24"/>
          <w:szCs w:val="24"/>
          <w:lang w:eastAsia="ru-RU"/>
        </w:rPr>
        <w:t xml:space="preserve">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Показатели, характеризующие насыщение банковскими услугами территории страны</w:t>
      </w:r>
      <w:r w:rsidRPr="009D2ACD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9D2ACD">
        <w:rPr>
          <w:rFonts w:ascii="Times New Roman" w:hAnsi="Times New Roman"/>
          <w:sz w:val="24"/>
          <w:szCs w:val="24"/>
          <w:lang w:eastAsia="ru-RU"/>
        </w:rPr>
        <w:t>иллюстрируют степень монополизации банковской сферы и неоднородность в развитии региональных банковских систем. Показатель концентрации банковского рынка определяется долей кредитных институтов с наибольшей долей активов в общих активах банковского сектора.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Статистические данные, опубликованные на сайте ЦБ РФ, указывают на значительную концентрацию банковского капитала в первых пяти кредитных организациях и ее дальнейшее увеличение с 42,3% на 01.01.2008 г. до 47,7% на 01.01.2011 г., что ведет к дальнейшей монополизации банковского сектора.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Российскую банковскую систему отличает наличие крупнейших государственных банков – Сбербанка, ВТБ, Газпромбанка, Россельхозбанка, концентрирующих более 50% всех активов российских банков.  При этом указанные банки не выполняют государственных функций, а являются коммерческими банками, нацеленными на извлечение прибыли. Они конкурируют по всем направлениям банковской деятельности с частными банками. Между тем они пользуются существенными государственными привилегиями. Именно им – и только им – было выделено в период кризиса более триллиона рублей субординированных кредитов под 8% годовых до 2020 г. [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].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 2008 г. было выдано 500 млрд. рублей Сбербанку России, 200 млрд. рублей ВТБ, 250 млрд. руб. иным кредитным организациям.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 2009 г. было выдано 500 млрд. руб. Сбербанку России, 200 млрд. руб. ВТБ, 130 млрд. руб. ВЭБ, 225 млрд. руб. другим коммерческим банкам) [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9D2ACD">
        <w:rPr>
          <w:rFonts w:ascii="Times New Roman" w:hAnsi="Times New Roman"/>
          <w:sz w:val="24"/>
          <w:szCs w:val="24"/>
          <w:lang w:eastAsia="ru-RU"/>
        </w:rPr>
        <w:t>].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Статистические данные,  опубликованные на сайте ЦБ РФ, указывают на значительную концентрацию банковского капитала в Центральном Федеральном округе и произошедшее его незначительное увеличение с 55% на 01.01.08 г. до 57% на 01.01.2011 г. Следующими по величине концентрации идут Приморский федеральный округ(11,8%-11,7%) и южный федеральный округ (10,4% - 10,2%). Наихудшее положение по обеспеченности банковскими услугами занимают Уральский федеральный округ(5,5%-5,0%) и Дальневосточный Федеральный округ (3,5%-2,7%). Тенденция снижения данных показателей является основанием для принятия государственных мер по выправлению сложившейся ситуации.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Статистические данные, опубликованные на сайте ЦБ РФ, указывают на то, что концентрация банковского капитала по регионам еще выше, чем в среднем по России. В период с 01.01.2008 г. по 01.01.2011 г. по всем округам произошло увеличение банковского капитала в пяти крупнейших кредитных организациях региона. Так в Северо-Западном, Сибирском и Дальневосточном федеральных округах концентрация достигла более 70%, Южном федеральном округе-69%. Такая ситуация указывает на высокую степень монополизации рынка банковских услуг в регионах и как результат низкий уровень конкурентоспособности мелких и средних банков в этих регионах.</w:t>
      </w:r>
    </w:p>
    <w:p w:rsidR="00F46A95" w:rsidRPr="009D2ACD" w:rsidRDefault="00F46A95" w:rsidP="005147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Показатели надежности банковского сектора. Данные показатели относятся к числу макропруденциальных. Они применяются в практике Международного Валютного Фонда как показатели надежности и стаб</w:t>
      </w:r>
      <w:r>
        <w:rPr>
          <w:rFonts w:ascii="Times New Roman" w:hAnsi="Times New Roman"/>
          <w:sz w:val="24"/>
          <w:szCs w:val="24"/>
          <w:lang w:eastAsia="ru-RU"/>
        </w:rPr>
        <w:t>ильности финансовых организаций</w:t>
      </w:r>
      <w:r w:rsidRPr="009D2ACD">
        <w:rPr>
          <w:rFonts w:ascii="Times New Roman" w:hAnsi="Times New Roman"/>
          <w:sz w:val="24"/>
          <w:szCs w:val="24"/>
          <w:lang w:eastAsia="ru-RU"/>
        </w:rPr>
        <w:t>.</w:t>
      </w:r>
    </w:p>
    <w:p w:rsidR="00F46A95" w:rsidRPr="009D2ACD" w:rsidRDefault="00F46A95" w:rsidP="005147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Показатель достаточности капитала – ключевой индикатор финансового состояния коммерческого банка. Его размер во многом определяет степень устойчивости банка, так как является составляющей ресурсной базы кредитной организации, призванной покрыть возникающие в его деятельности риски.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Показатели ликвидности банковского сектора представлены двумя основными индикаторами-коэффициентами мгновенной и текущей ликвидности.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Еще одной важной характеристикой, оценивающей финансовую устойчивость банковского сектора, является кредитный риск. Кредитный риск связан с потерей банком дохода или даже уменьшением уставного капитала в связи с ненадлежащим качеством исполнения своих обязательств заемщиками. В первую очередь оценка кредитного риска проводится на основании анализа просроченной ссудной задолженности перед банками.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Величина рыночного риска состоит из трех элементов: процентного риска, фондового риска, валютного риска.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Процентный риск. Размер процентного риска определяется по финансовым инструментам, чувствительным к изменениям процентных ставок.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Фондовый риск (ФР). Оценка фондового риска проводится кредитной организацией в отношении следующих инструментов: акций обыкновенных, депозитарных расписок, конвертируемых финансовых инструментов (облигации и привилегированные акции), производных финансовых инструментов, базисным активом которых являются вышеперечисленные ценные бумаги.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Валютный риск (ВР). Под валютным риском понимается риск понесения убытков вследствие изменения курса иностранных валют и цен на драгоценные металлы по отношению к национальной валюте.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По статистическим данным ЦБ РФ видны улучшения показателей достаточности капитала: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-рост отношения собственных средств к активам, взвешенным по уровню риска с 16,0% на 01.01.2006 г. до 18,1% на 01.01.2011г.;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-отношение основного капитала к активам, взвешенным по уровню риска осталось неизменным 11,4%;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-отношение активов, взвешенных по уровню кредитного риска, к совокупным активам снизилось за рассматриваемый период с 63,9% до 59,6%.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В тоже время ухудшились показатели кредитного риска: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-выросла доля проблемных и безнадежных ссуд в общем объеме ссуд с 2,6%  на 01.01.2006г. до 8,2% на 01.01.2011г.;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-увеличился сформированный резерв на возможные потери по ссудам в % от общего объема выданных ссуд с 4,6% до 8,5%.;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-но в тоже время сократился показатель Н7 - отношение совокупной величины крупных кредитных рисков к капиталу с 239,9% до 184,6% за указанный выше период.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Столь значительное увеличение кредитного риска связано в первую очередь с финансово-экономическим кризисом и его последствиями, а также с недостаточной адекватностью  применяемых банками методик и технологий для оценки уровня кредитоспособности заемщиков. Раньше считалось, что наличие у заемщика надежного залога практически снимает риски с банка. Однако в  условиях кризиса, когда залог уже не может быть реализован по желаемой стоимости, вопросы качества бизнеса заемщика и его актуальное финансовое состояние вышли на первый план.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Показатели  ликвидности изменились следующим образом: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-отношение высоколиквидных активов к совокупным активам снизилось с 15,2% до 13,5%;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sz w:val="24"/>
          <w:szCs w:val="24"/>
        </w:rPr>
        <w:t>-</w:t>
      </w:r>
      <w:r w:rsidRPr="009D2ACD">
        <w:rPr>
          <w:rFonts w:ascii="Times New Roman" w:hAnsi="Times New Roman"/>
          <w:sz w:val="24"/>
          <w:szCs w:val="24"/>
        </w:rPr>
        <w:t xml:space="preserve">отношение ликвидных активов к совокупным активам снизилось с 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27,4% до 26,8%;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-отношение высоколиквидных активов к обязательствам до востребования (Н2) увеличилось с 54,7% до 64,8%;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-отношение ликвидных активов к краткосрочным обязательствам (Н3) увеличилось с 73,7% до 94%.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Показатели рыночного риска изменились следующим образом: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-валютный риск вырос с 5,8 до 36,7;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-процентный риск уменьшился с 13,3 до 8,6;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-фондовый риск уменьшился с 14,4 до 3,2.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Слабость большинства российских банков заключается в их недостаточной ликвидности, слабой устойчивости, излишней волатильности, что ярко проявилось в период кризиса.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В первые же месяцы кризиса ЦБ РФ пришлось принимать срочные меры пополнения ликвидности значительной части банков. Недостаточная ликвидности банков поставившая их на грань банкротства в начале кризиса была ликвидирована с помощью  ЦБ РФ. Операции прямого РЕПО стали основным инструментом «поставки» ликвидности в Российскую банковскую систему.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9D2ACD">
        <w:rPr>
          <w:rFonts w:ascii="Times New Roman" w:hAnsi="Times New Roman"/>
          <w:i/>
          <w:sz w:val="24"/>
          <w:szCs w:val="24"/>
          <w:lang w:eastAsia="ru-RU"/>
        </w:rPr>
        <w:t>Показатели структуры активов и пассивов банковского сектора.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По статистическим данным ЦБ РФ денежные средства, драгоценные металлы и камни увеличились с 501,7 млрд. руб. на 01.01.2008 г. до 912,6 млрд. руб. на 01.01.2011 г.; ценные бумаги, приобретенные кредитными организациями возросли с 2 250,6  млрд. руб.  до 5 829,0 млрд. руб. за изучаемый период; кредиты и прочие ссуды выросли с 9 316 млрд. руб.  до 14 062,9 млрд. руб. 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При анализе структуры активов выявляется основная направленность в развитии банковского сектора-возрастающая кредитная активность банков. Это подтверждается показателем доли суммарной ссудной задолженности в совокупных активах банковского сектора.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Качество кредитного портфеля банков оценивается с помощью структурных показателей, определяемых как объемы и доли выданных банками кредитов, и инвестируемых средств в основной капитал в разрезе отраслей промышленности.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9D2ACD">
        <w:rPr>
          <w:rFonts w:ascii="Times New Roman" w:hAnsi="Times New Roman"/>
          <w:i/>
          <w:sz w:val="24"/>
          <w:szCs w:val="24"/>
          <w:lang w:eastAsia="ru-RU"/>
        </w:rPr>
        <w:t>Структура пассивов кредитных организаций, сгруппированных по направлениям вложений.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По статистическим данным ЦБ РФ средства клиентов возросли с 12 252,3  млрд. руб. на 01.01.2008 г. до 21 080,9 млрд. руб. на 01.01.2011 г; депозиты и прочие привлеченные средства юридических лиц (кроме кредитных организаций) увеличились с 3 520,0 млрд. руб. на 01.01.2008 г.  до 6 035,6 млрд. руб. на 01.01.2011 г.; вклады физических лиц выросли с 5 159,2  млрд. руб. до 9 818 ,0 млрд. руб. за изучаемый период.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Исследование структуры пассивов выявляет следующие закрепляющиеся тенденции в развитии банковского сектора: рост доли вкладов физических лиц, снижение доли средств предприятий и организаций на расчетных и текущих счетах,  преобладание коротких пассивов.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Пассивы банковского сектора России в подавляющей своей части состоят из «коротких» денег,  размещенных в банках на срок менее трех лет. В связи с этим доля и объемы, инвестиционных кредитов,  в том числе ипотечных, не значительны и в разы уступают показателям </w:t>
      </w:r>
      <w:r>
        <w:rPr>
          <w:rFonts w:ascii="Times New Roman" w:hAnsi="Times New Roman"/>
          <w:sz w:val="24"/>
          <w:szCs w:val="24"/>
          <w:lang w:eastAsia="ru-RU"/>
        </w:rPr>
        <w:t>банковских систем других стран</w:t>
      </w:r>
      <w:r w:rsidRPr="009D2ACD">
        <w:rPr>
          <w:rFonts w:ascii="Times New Roman" w:hAnsi="Times New Roman"/>
          <w:sz w:val="24"/>
          <w:szCs w:val="24"/>
          <w:lang w:eastAsia="ru-RU"/>
        </w:rPr>
        <w:t>. Из всех инвестиций, которые предприятия и организации страны осуществляют для своего развития, около 50% они финансировали за счет прибыли и амортизации и только 8,9% - за счет заемных средств (при этом доля кредитов российских банков с 2000 г. в инвестициях не выросла, а заметно сократилась).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9D2ACD">
        <w:rPr>
          <w:rFonts w:ascii="Times New Roman" w:hAnsi="Times New Roman"/>
          <w:i/>
          <w:sz w:val="24"/>
          <w:szCs w:val="24"/>
          <w:lang w:eastAsia="ru-RU"/>
        </w:rPr>
        <w:t>Показатели прибыльности и рентабельности банковского сектора.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Оценка финансовых результатов деятельности банковского сектора является завершающей стадией анализа финансовой устойчивости. Величина полученной в отчетном периоде прибыли кредитных организаций определяет доходы их собственников, вознаграждение служащих банков, поступление в бюджет. Финансовый результат является, таким образом, показателем привлекательности кредитных учреждений для партнеров по бизнесу, кредиторов и инвесторов. В ходе управления текущей деятельностью руководство банка уделяет особое внимание показателю чистой маржи, собственники заинтересованы в уровне чистой прибыли, внешних пользователей интересует способность банка генерировать прибыль в периоде – балансовую прибыль.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У многих банков финансовые результаты деятельности недостаточны для создания резервов на случай расширения масштабов кредитования. Ограничения по предоставлению кредитов и высокие процентные ставки приводят к потере клиентской базы и недополучению ожидаемого дохода. В результате наиболее надежные заемщики концентрируются вокруг иностранных и российских банков с государственным участием, а менее надежные по убыванию распределяются между крупными и остальными банками. Показателями финансового результата деятельности банков являются: общая рентабельность, рентабельность активов банков; рентабельность капитала банковского сектора; темпы роста прибыли банковского сектора; чистый текущий доход кредитных организаций.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Основной составляющей чистого текущего дохода отечественных кредитных организаций является чистый процентный доход или чистая процентная маржа банков. Она рассчитывается как разница между процентами, получаемыми банками по предоставляемым кредитам, депозитам, и процентами, выплачиваемыми самими кредитными организациями по привлекаемым кредитам, вкладам граждан, и депозитам юридических лиц.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Финансовый результат деятельности банков, показывающий рост с 262,1 млрд. руб. на 01.01.2006 г. до 508,0 млрд. руб. на 01.01.2008 г.  упал в период кризиса до 205,1 млрд. руб. Тем не менее на 01.01.2011 он достиг показателя 573, 4 млрд. руб. т. е превысил докризисный уровень.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 тоже время за указанный период произошло существенное снижение рентабельности активов с 3,2% до 1,9%; рентабельности капитала с 24,2% до 12,5%.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Показатели конкурентоспособности банковской системы России могут быть применены к оценке конкурентоспособности отдельных коммерческих банков.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Экономические конкурентные преимущества  отдельно взятого банка можно получить по данным сайта Банкир.ру.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К неэкономическим конкурентным преимуществам можно отнести Рэнкинг банков по масштабу "классической сети" который представлен в таблице </w:t>
      </w:r>
      <w:r>
        <w:rPr>
          <w:rFonts w:ascii="Times New Roman" w:hAnsi="Times New Roman"/>
          <w:sz w:val="24"/>
          <w:szCs w:val="24"/>
          <w:lang w:eastAsia="ru-RU"/>
        </w:rPr>
        <w:t>1</w:t>
      </w:r>
      <w:r w:rsidRPr="009D2ACD">
        <w:rPr>
          <w:rFonts w:ascii="Times New Roman" w:hAnsi="Times New Roman"/>
          <w:sz w:val="24"/>
          <w:szCs w:val="24"/>
          <w:lang w:eastAsia="ru-RU"/>
        </w:rPr>
        <w:t>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Таб.</w:t>
      </w:r>
      <w:r>
        <w:rPr>
          <w:rFonts w:ascii="Times New Roman" w:hAnsi="Times New Roman"/>
          <w:sz w:val="24"/>
          <w:szCs w:val="24"/>
          <w:lang w:eastAsia="ru-RU"/>
        </w:rPr>
        <w:t>1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 Количество банковских офисов у Топ-20 банков России в 2011г.[183]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  <w:gridCol w:w="3191"/>
      </w:tblGrid>
      <w:tr w:rsidR="00F46A95" w:rsidRPr="00787E74" w:rsidTr="009E6394">
        <w:tc>
          <w:tcPr>
            <w:tcW w:w="3190" w:type="dxa"/>
          </w:tcPr>
          <w:p w:rsidR="00F46A95" w:rsidRPr="00787E74" w:rsidRDefault="00F46A95" w:rsidP="002A49E3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Позиция</w:t>
            </w:r>
          </w:p>
        </w:tc>
        <w:tc>
          <w:tcPr>
            <w:tcW w:w="3190" w:type="dxa"/>
          </w:tcPr>
          <w:p w:rsidR="00F46A95" w:rsidRPr="00787E74" w:rsidRDefault="00F46A95" w:rsidP="002A49E3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 банка</w:t>
            </w:r>
          </w:p>
        </w:tc>
        <w:tc>
          <w:tcPr>
            <w:tcW w:w="3191" w:type="dxa"/>
          </w:tcPr>
          <w:p w:rsidR="00F46A95" w:rsidRPr="00787E74" w:rsidRDefault="00F46A95" w:rsidP="002A49E3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Кол-во банковских офисов</w:t>
            </w:r>
          </w:p>
        </w:tc>
      </w:tr>
      <w:tr w:rsidR="00F46A95" w:rsidRPr="00787E74" w:rsidTr="009E6394"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Сбербанк</w:t>
            </w:r>
          </w:p>
        </w:tc>
        <w:tc>
          <w:tcPr>
            <w:tcW w:w="3191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11 053</w:t>
            </w:r>
          </w:p>
        </w:tc>
      </w:tr>
      <w:tr w:rsidR="00F46A95" w:rsidRPr="00787E74" w:rsidTr="009E6394"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Россельхозбанк</w:t>
            </w:r>
          </w:p>
        </w:tc>
        <w:tc>
          <w:tcPr>
            <w:tcW w:w="3191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1556</w:t>
            </w:r>
          </w:p>
        </w:tc>
      </w:tr>
      <w:tr w:rsidR="00F46A95" w:rsidRPr="00787E74" w:rsidTr="009E6394"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АК Барс Банк</w:t>
            </w:r>
          </w:p>
        </w:tc>
        <w:tc>
          <w:tcPr>
            <w:tcW w:w="3191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604</w:t>
            </w:r>
          </w:p>
        </w:tc>
      </w:tr>
      <w:tr w:rsidR="00F46A95" w:rsidRPr="00787E74" w:rsidTr="009E6394"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ВТБ 24</w:t>
            </w:r>
          </w:p>
        </w:tc>
        <w:tc>
          <w:tcPr>
            <w:tcW w:w="3191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585</w:t>
            </w:r>
          </w:p>
        </w:tc>
      </w:tr>
      <w:tr w:rsidR="00F46A95" w:rsidRPr="00787E74" w:rsidTr="009E6394"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Росбанк</w:t>
            </w:r>
          </w:p>
        </w:tc>
        <w:tc>
          <w:tcPr>
            <w:tcW w:w="3191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581</w:t>
            </w:r>
          </w:p>
        </w:tc>
      </w:tr>
      <w:tr w:rsidR="00F46A95" w:rsidRPr="00787E74" w:rsidTr="009E6394"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Восточный Экспресс</w:t>
            </w:r>
          </w:p>
        </w:tc>
        <w:tc>
          <w:tcPr>
            <w:tcW w:w="3191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506</w:t>
            </w:r>
          </w:p>
        </w:tc>
      </w:tr>
      <w:tr w:rsidR="00F46A95" w:rsidRPr="00787E74" w:rsidTr="009E6394"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УралСиб</w:t>
            </w:r>
          </w:p>
        </w:tc>
        <w:tc>
          <w:tcPr>
            <w:tcW w:w="3191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394</w:t>
            </w:r>
          </w:p>
        </w:tc>
      </w:tr>
      <w:tr w:rsidR="00F46A95" w:rsidRPr="00787E74" w:rsidTr="009E6394"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Банк Москвы</w:t>
            </w:r>
          </w:p>
        </w:tc>
        <w:tc>
          <w:tcPr>
            <w:tcW w:w="3191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345</w:t>
            </w:r>
          </w:p>
        </w:tc>
      </w:tr>
      <w:tr w:rsidR="00F46A95" w:rsidRPr="00787E74" w:rsidTr="009E6394"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Мособлбанк</w:t>
            </w:r>
          </w:p>
        </w:tc>
        <w:tc>
          <w:tcPr>
            <w:tcW w:w="3191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299</w:t>
            </w:r>
          </w:p>
        </w:tc>
      </w:tr>
      <w:tr w:rsidR="00F46A95" w:rsidRPr="00787E74" w:rsidTr="009E6394"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90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Траст</w:t>
            </w:r>
          </w:p>
        </w:tc>
        <w:tc>
          <w:tcPr>
            <w:tcW w:w="3191" w:type="dxa"/>
          </w:tcPr>
          <w:p w:rsidR="00F46A95" w:rsidRPr="00787E74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292</w:t>
            </w:r>
          </w:p>
        </w:tc>
      </w:tr>
    </w:tbl>
    <w:p w:rsidR="00F46A95" w:rsidRPr="007500F0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71678">
        <w:rPr>
          <w:rFonts w:ascii="Times New Roman" w:hAnsi="Times New Roman"/>
          <w:sz w:val="20"/>
          <w:szCs w:val="20"/>
          <w:lang w:eastAsia="ru-RU"/>
        </w:rPr>
        <w:t>Источник</w:t>
      </w:r>
      <w:r w:rsidRPr="00C71678">
        <w:rPr>
          <w:rFonts w:ascii="Times New Roman" w:hAnsi="Times New Roman"/>
          <w:sz w:val="20"/>
          <w:szCs w:val="20"/>
          <w:lang w:val="en-US" w:eastAsia="ru-RU"/>
        </w:rPr>
        <w:t xml:space="preserve"> Frank Research Group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Абсолютным лидером по количеству банковских офисов является Сбербанк — более 11 тыс. штук. За ним с большим отрывом следует Россельхозбанк — 1 556 банковских офисов. Замыкает тройку лидеров банк «Ак Барс» с весьма спорным форматом банковских офисов в почтовых отделениях.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ВТБ 24 и Росбанк с небольшой разницей в количестве офисов расположились на 4 и 5 местах соответственно.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Банки с иностранным участием — Росбанк, ХКФБ и ОТП Банк заняли 5, 15 и 19 места с 581, 246 и 209 банковскими офисами соответственно.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Пятерка лидеров полностью состоит из банков, контролируемых государством, и иностранных банков.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Из частных российских банков самая масштабная сеть у банка «Восточный Экспресс» — шестое место в рэнкинге.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Замыкает Топ-20 МДМ Банк, чья розничная сеть после слияния с Урса Банком составляет 208 отделений.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 таблице 2  представлены данные о наличии банковских офисов у Топ-20 банков России в различных субъектах Российской Федерации.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Таб. 2 Наличие банковских офисов у Топ-20 банков России в различных субъектах Российской Федерации 01.01.2012 г.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  <w:gridCol w:w="3191"/>
      </w:tblGrid>
      <w:tr w:rsidR="00F46A95" w:rsidRPr="00DF1BE3" w:rsidTr="009E6394">
        <w:tc>
          <w:tcPr>
            <w:tcW w:w="3190" w:type="dxa"/>
          </w:tcPr>
          <w:p w:rsidR="00F46A95" w:rsidRPr="00DF1BE3" w:rsidRDefault="00F46A95" w:rsidP="002A49E3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Позиция</w:t>
            </w:r>
          </w:p>
        </w:tc>
        <w:tc>
          <w:tcPr>
            <w:tcW w:w="3190" w:type="dxa"/>
          </w:tcPr>
          <w:p w:rsidR="00F46A95" w:rsidRPr="00DF1BE3" w:rsidRDefault="00F46A95" w:rsidP="002A49E3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 банка</w:t>
            </w:r>
          </w:p>
        </w:tc>
        <w:tc>
          <w:tcPr>
            <w:tcW w:w="3191" w:type="dxa"/>
          </w:tcPr>
          <w:p w:rsidR="00F46A95" w:rsidRPr="00DF1BE3" w:rsidRDefault="00F46A95" w:rsidP="002A49E3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Кол-во банковских офисов</w:t>
            </w:r>
          </w:p>
        </w:tc>
      </w:tr>
      <w:tr w:rsidR="00F46A95" w:rsidRPr="00DF1BE3" w:rsidTr="009E6394"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Сбербанк</w:t>
            </w:r>
          </w:p>
        </w:tc>
        <w:tc>
          <w:tcPr>
            <w:tcW w:w="3191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83</w:t>
            </w:r>
          </w:p>
        </w:tc>
      </w:tr>
      <w:tr w:rsidR="00F46A95" w:rsidRPr="00DF1BE3" w:rsidTr="009E6394"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Россельхозбанк</w:t>
            </w:r>
          </w:p>
        </w:tc>
        <w:tc>
          <w:tcPr>
            <w:tcW w:w="3191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79</w:t>
            </w:r>
          </w:p>
        </w:tc>
      </w:tr>
      <w:tr w:rsidR="00F46A95" w:rsidRPr="00DF1BE3" w:rsidTr="009E6394"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Росбанк</w:t>
            </w:r>
          </w:p>
        </w:tc>
        <w:tc>
          <w:tcPr>
            <w:tcW w:w="3191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72</w:t>
            </w:r>
          </w:p>
        </w:tc>
      </w:tr>
      <w:tr w:rsidR="00F46A95" w:rsidRPr="00DF1BE3" w:rsidTr="009E6394"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ОТП Банк</w:t>
            </w:r>
          </w:p>
        </w:tc>
        <w:tc>
          <w:tcPr>
            <w:tcW w:w="3191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71</w:t>
            </w:r>
          </w:p>
        </w:tc>
      </w:tr>
      <w:tr w:rsidR="00F46A95" w:rsidRPr="00DF1BE3" w:rsidTr="009E6394"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ВТБ 24</w:t>
            </w:r>
          </w:p>
        </w:tc>
        <w:tc>
          <w:tcPr>
            <w:tcW w:w="3191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</w:tr>
      <w:tr w:rsidR="00F46A95" w:rsidRPr="00DF1BE3" w:rsidTr="009E6394"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ТрансКредитБанк</w:t>
            </w:r>
          </w:p>
        </w:tc>
        <w:tc>
          <w:tcPr>
            <w:tcW w:w="3191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66</w:t>
            </w:r>
          </w:p>
        </w:tc>
      </w:tr>
      <w:tr w:rsidR="00F46A95" w:rsidRPr="00DF1BE3" w:rsidTr="009E6394"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Восточный экспресс</w:t>
            </w:r>
          </w:p>
        </w:tc>
        <w:tc>
          <w:tcPr>
            <w:tcW w:w="3191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63</w:t>
            </w:r>
          </w:p>
        </w:tc>
      </w:tr>
      <w:tr w:rsidR="00F46A95" w:rsidRPr="00DF1BE3" w:rsidTr="009E6394"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Русфинанс Банк</w:t>
            </w:r>
          </w:p>
        </w:tc>
        <w:tc>
          <w:tcPr>
            <w:tcW w:w="3191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63</w:t>
            </w:r>
          </w:p>
        </w:tc>
      </w:tr>
      <w:tr w:rsidR="00F46A95" w:rsidRPr="00DF1BE3" w:rsidTr="009E6394"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Банк Москвы</w:t>
            </w:r>
          </w:p>
        </w:tc>
        <w:tc>
          <w:tcPr>
            <w:tcW w:w="3191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62</w:t>
            </w:r>
          </w:p>
        </w:tc>
      </w:tr>
      <w:tr w:rsidR="00F46A95" w:rsidRPr="00DF1BE3" w:rsidTr="009E6394"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90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Русь-Банк</w:t>
            </w:r>
          </w:p>
        </w:tc>
        <w:tc>
          <w:tcPr>
            <w:tcW w:w="3191" w:type="dxa"/>
          </w:tcPr>
          <w:p w:rsidR="00F46A95" w:rsidRPr="00DF1BE3" w:rsidRDefault="00F46A95" w:rsidP="00FE489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62</w:t>
            </w:r>
          </w:p>
        </w:tc>
      </w:tr>
    </w:tbl>
    <w:p w:rsidR="00F46A95" w:rsidRPr="00C71678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  <w:lang w:val="en-US" w:eastAsia="ru-RU"/>
        </w:rPr>
      </w:pPr>
      <w:r w:rsidRPr="00C71678">
        <w:rPr>
          <w:rFonts w:ascii="Times New Roman" w:hAnsi="Times New Roman"/>
          <w:sz w:val="20"/>
          <w:szCs w:val="20"/>
          <w:lang w:eastAsia="ru-RU"/>
        </w:rPr>
        <w:t>Источник</w:t>
      </w:r>
      <w:r w:rsidRPr="00C71678">
        <w:rPr>
          <w:rFonts w:ascii="Times New Roman" w:hAnsi="Times New Roman"/>
          <w:sz w:val="20"/>
          <w:szCs w:val="20"/>
          <w:lang w:val="en-US" w:eastAsia="ru-RU"/>
        </w:rPr>
        <w:t xml:space="preserve"> Frank Research Group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Из всех банковских организаций, существующий в России, только Сбербанк представлен во всех субъектах РФ. Россельхозбанк представлен в 79 субъектах РФ, но отсутствует во всех автономных округах. На 3 и 4 местах в рэнкинге по охвату субъектов РФ разместились сразу два иностранных банка: Росбанк и ОТП Банк, которые выстроили свои розничные сети после серии приобретений. Замыкает Рэнкинг Юниаструм Банк с розничной сетью, покрывающей 50 субъектов РФ.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Важным неэкономическим конкурентным преимуществом  банков является его имидж, который может быть оценен по  народному рейтингу, индексу заметности, индексу доверия.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Сбербанк, ВТБ-24, Русский стандарт - неизменные лидеры рейтинга узнаваемости банков среди россиян, а состав ТОП-3 банков по известности изменился. Об этом свидетельствуют результаты всероссийских опросов, проведенных Национальным агентством финансовых исследований (НАФИ) в 2008-2011 гг.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В рамках опроса узнаваемость понимается как знание с подсказкой - ситуация, когда потребитель узнает бренд, если видит или слышит его.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 А известность трактуется  как спонтанное знание бренда банка - если потребитель самостоятельно (без подсказки) вспоминает и называет бренд.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Показатели узнаваемости двух крупнейших банков страны - Сбербанка и ВТБ24 на протяжении последних трех лет остаются традиционно высокими (таб. </w:t>
      </w:r>
      <w:r>
        <w:rPr>
          <w:rFonts w:ascii="Times New Roman" w:hAnsi="Times New Roman"/>
          <w:sz w:val="24"/>
          <w:szCs w:val="24"/>
          <w:lang w:eastAsia="ru-RU"/>
        </w:rPr>
        <w:t>3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).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Таблица </w:t>
      </w:r>
      <w:r>
        <w:rPr>
          <w:rFonts w:ascii="Times New Roman" w:hAnsi="Times New Roman"/>
          <w:sz w:val="24"/>
          <w:szCs w:val="24"/>
          <w:lang w:eastAsia="ru-RU"/>
        </w:rPr>
        <w:t>3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Рейтинг узнаваемости (знания с подсказкой) банков, % респондентов [184]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794"/>
        <w:gridCol w:w="1134"/>
        <w:gridCol w:w="1276"/>
        <w:gridCol w:w="1134"/>
        <w:gridCol w:w="1134"/>
        <w:gridCol w:w="1099"/>
      </w:tblGrid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2007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2009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2010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2011</w:t>
            </w:r>
          </w:p>
        </w:tc>
      </w:tr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Сбербанк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95</w:t>
            </w:r>
          </w:p>
        </w:tc>
      </w:tr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ВТВ 24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73</w:t>
            </w:r>
          </w:p>
        </w:tc>
      </w:tr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Банк Русский Стандарт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73</w:t>
            </w:r>
          </w:p>
        </w:tc>
      </w:tr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Альфа-Банк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59</w:t>
            </w:r>
          </w:p>
        </w:tc>
      </w:tr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Газпромбанк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48</w:t>
            </w:r>
          </w:p>
        </w:tc>
      </w:tr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Банк Москвы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47</w:t>
            </w:r>
          </w:p>
        </w:tc>
      </w:tr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Россельхозбанк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42</w:t>
            </w:r>
          </w:p>
        </w:tc>
      </w:tr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УралСиб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43</w:t>
            </w:r>
          </w:p>
        </w:tc>
      </w:tr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Росбанк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41</w:t>
            </w:r>
          </w:p>
        </w:tc>
      </w:tr>
      <w:tr w:rsidR="00F46A95" w:rsidRPr="00787E74" w:rsidTr="0051474D">
        <w:tc>
          <w:tcPr>
            <w:tcW w:w="379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Райффайзенбанк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276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134" w:type="dxa"/>
          </w:tcPr>
          <w:p w:rsidR="00F46A95" w:rsidRPr="00787E74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099" w:type="dxa"/>
          </w:tcPr>
          <w:p w:rsidR="00F46A95" w:rsidRPr="00787E74" w:rsidRDefault="00F46A95" w:rsidP="005147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87E74">
              <w:rPr>
                <w:rFonts w:ascii="Times New Roman" w:hAnsi="Times New Roman"/>
                <w:sz w:val="20"/>
                <w:szCs w:val="20"/>
                <w:lang w:eastAsia="ru-RU"/>
              </w:rPr>
              <w:t>33</w:t>
            </w:r>
          </w:p>
        </w:tc>
      </w:tr>
    </w:tbl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И если высокая узнаваемость Сбербанка во многом объясняется нашим советским наследием, то позиции ВТБ24 не были изначально высокими и усиливались постепенно. Узнаваемость банка Русский Стандарт, замыкающего тройку лидеров рейтинга, с 2007 по 2009 г. уверенно росла.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2010 г. принес банку определенное снижение данного показателя, а в 2011 г. снова наметилась тенденция к его повышению.  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Зафиксировать, и даже улучшить свои позиции по узнаваемости за прошедший год удалось большинству банков - участников рейтинга. Наибольший рост продемонстрировали  Банк Москвы, ВТБ 24 и Россельхозбанк.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Сбербанк и ВТБ 24 неизменно возглавляют и рейтинг известности банков (Таб. 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).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Таб. 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Рейтинг известности (спонтанного знания) банков, % респондентов [185]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11"/>
        <w:gridCol w:w="1418"/>
        <w:gridCol w:w="1702"/>
        <w:gridCol w:w="1240"/>
      </w:tblGrid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2011</w:t>
            </w:r>
          </w:p>
        </w:tc>
      </w:tr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Сбербанк</w:t>
            </w: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88</w:t>
            </w:r>
          </w:p>
        </w:tc>
      </w:tr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ВТВ 24</w:t>
            </w: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</w:p>
        </w:tc>
      </w:tr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Альфа Банк</w:t>
            </w: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</w:tr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Банк Русский Стандарт</w:t>
            </w: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Банк Москвы</w:t>
            </w: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Уралсиб</w:t>
            </w: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Росбанк</w:t>
            </w: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Россельхозбанк</w:t>
            </w: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Газпромбанк</w:t>
            </w: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F46A95" w:rsidRPr="00DF1BE3" w:rsidTr="0051474D">
        <w:tc>
          <w:tcPr>
            <w:tcW w:w="2722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Хоум кредит</w:t>
            </w:r>
          </w:p>
        </w:tc>
        <w:tc>
          <w:tcPr>
            <w:tcW w:w="741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9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8" w:type="pct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А борьба за третье место в течение последних двух лет продолжается. Так, в частности, банк Русский Стандарт, занимающий в 2009 г. третью позицию, уступил в 2010 г. это место на некоторое время Альфа-Банку. Весной 2011 г. банк Русский Стандарт снова отвоевал третью позицию, но не удержал ее до конца года и осень 2011 снова опустился на четвертое место. Альфа-Банку в очередной раз удалось вырваться на третье место. Известность других банков-участников ТОП-10 рейтинга за последний год осталась практически неизменной.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В настоящее время представляет интерес Народный рейтинг, который строится на основе отзывов посетителей Banki.ru об уровне обслуживания и качестве услуг банков (таб. 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).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Таб. 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Народный рейтинг об уровне обслуживания и качестве услуг банков на 01.01. 2012 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Авангард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72,9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Тинькофф Кредитные Системы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72,1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Хоум Кредит 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51,0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Московский Кредитный 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49,9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ЮниКредит 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46,0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Ренессанс Кредит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45,0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Национальный Банк «Траст»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44,2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ВТБ 24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44,1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Связной 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43,1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Альфа-Банк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41,9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Открытие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40,6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Сбербанк России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40,2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Восточный Экспресс 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38,9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Райффайзенбанк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38,0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Русский Стандарт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36,2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Ситибанк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35,1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ОТП 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34,4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Банк Москвы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29,4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Росбанк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28,8</w:t>
            </w:r>
          </w:p>
        </w:tc>
      </w:tr>
      <w:tr w:rsidR="00F46A95" w:rsidRPr="005F7A01" w:rsidTr="009E6394">
        <w:tc>
          <w:tcPr>
            <w:tcW w:w="4785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БНП Париба Банк</w:t>
            </w:r>
          </w:p>
        </w:tc>
        <w:tc>
          <w:tcPr>
            <w:tcW w:w="4786" w:type="dxa"/>
          </w:tcPr>
          <w:p w:rsidR="00F46A95" w:rsidRPr="005F7A01" w:rsidRDefault="00F46A95" w:rsidP="005F7A0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7A01">
              <w:rPr>
                <w:rFonts w:ascii="Times New Roman" w:hAnsi="Times New Roman"/>
                <w:sz w:val="24"/>
                <w:szCs w:val="24"/>
                <w:lang w:eastAsia="ru-RU"/>
              </w:rPr>
              <w:t>18,1</w:t>
            </w:r>
          </w:p>
        </w:tc>
      </w:tr>
    </w:tbl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Как следует из проведенного опроса лидеры по величине активов, прибыли, рентабельности и другим финансовым показателям не являются лучшими по качеству оказываемых услуг.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 Важное значение в развитии банковского бизнеса приобретает Интернет.</w:t>
      </w:r>
      <w:r w:rsidRPr="009D2ACD">
        <w:rPr>
          <w:sz w:val="24"/>
          <w:szCs w:val="24"/>
        </w:rPr>
        <w:t xml:space="preserve">  </w:t>
      </w:r>
      <w:r w:rsidRPr="009D2ACD">
        <w:rPr>
          <w:rFonts w:ascii="Times New Roman" w:hAnsi="Times New Roman"/>
          <w:sz w:val="24"/>
          <w:szCs w:val="24"/>
        </w:rPr>
        <w:t>Компании, которые игнорируют</w:t>
      </w:r>
      <w:r w:rsidRPr="009D2ACD">
        <w:rPr>
          <w:sz w:val="24"/>
          <w:szCs w:val="24"/>
        </w:rPr>
        <w:t xml:space="preserve"> </w:t>
      </w:r>
      <w:r w:rsidRPr="009D2ACD">
        <w:rPr>
          <w:rFonts w:ascii="Times New Roman" w:hAnsi="Times New Roman"/>
          <w:sz w:val="24"/>
          <w:szCs w:val="24"/>
          <w:lang w:eastAsia="ru-RU"/>
        </w:rPr>
        <w:t>возможности Всемирной паутины, перестанут быть конкурентоспособными. К такому выводу пришла В</w:t>
      </w:r>
      <w:r w:rsidRPr="009D2ACD">
        <w:rPr>
          <w:rFonts w:ascii="Times New Roman" w:hAnsi="Times New Roman"/>
          <w:sz w:val="24"/>
          <w:szCs w:val="24"/>
          <w:lang w:val="en-US" w:eastAsia="ru-RU"/>
        </w:rPr>
        <w:t>oston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D2ACD">
        <w:rPr>
          <w:rFonts w:ascii="Times New Roman" w:hAnsi="Times New Roman"/>
          <w:sz w:val="24"/>
          <w:szCs w:val="24"/>
          <w:lang w:val="en-US" w:eastAsia="ru-RU"/>
        </w:rPr>
        <w:t>Consulting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D2ACD">
        <w:rPr>
          <w:rFonts w:ascii="Times New Roman" w:hAnsi="Times New Roman"/>
          <w:sz w:val="24"/>
          <w:szCs w:val="24"/>
          <w:lang w:val="en-US" w:eastAsia="ru-RU"/>
        </w:rPr>
        <w:t>Group</w:t>
      </w:r>
      <w:r w:rsidRPr="009D2ACD">
        <w:rPr>
          <w:rFonts w:ascii="Times New Roman" w:hAnsi="Times New Roman"/>
          <w:sz w:val="24"/>
          <w:szCs w:val="24"/>
          <w:lang w:eastAsia="ru-RU"/>
        </w:rPr>
        <w:t>, нарисовав вероятную картину интернет-экономики планеты 2016. Через 5 лет в виртуальном пространстве только стран «Большой двадцатки» будет «крутиться» до 4,2 трлн. долларов, а 3 млрд. покупателей (половина населения мира) не смогут представить своей жизни без Интернета. Россия среди отстающих стран. Нашу интернет-экономику оценивают всего в 19 млрд. долларов, обещая впрочем, что она будет приносить 5% ВВП через четыре года. Мешает, прежде всего, слабое развитие инфраструктуры [6].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Исследование, проведенное аналитическим агентством Markswebb Rank&amp;Report в конце 2011 года, посвящено сайтам розничных банков, действующих на территории Российской Федерации и его результаты представлены в таблице </w:t>
      </w:r>
      <w:r>
        <w:rPr>
          <w:rFonts w:ascii="Times New Roman" w:hAnsi="Times New Roman"/>
          <w:sz w:val="24"/>
          <w:szCs w:val="24"/>
          <w:lang w:eastAsia="ru-RU"/>
        </w:rPr>
        <w:t>6</w:t>
      </w:r>
      <w:r w:rsidRPr="009D2ACD">
        <w:rPr>
          <w:rFonts w:ascii="Times New Roman" w:hAnsi="Times New Roman"/>
          <w:sz w:val="24"/>
          <w:szCs w:val="24"/>
          <w:lang w:eastAsia="ru-RU"/>
        </w:rPr>
        <w:t>.</w:t>
      </w:r>
      <w:r w:rsidRPr="009D2ACD">
        <w:rPr>
          <w:sz w:val="24"/>
          <w:szCs w:val="24"/>
        </w:rPr>
        <w:t xml:space="preserve"> 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Таб.6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Рейтинг банков по качеству  интернет сайтов на конец 2011 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F46A95" w:rsidRPr="00DF1BE3" w:rsidTr="009E6394">
        <w:tc>
          <w:tcPr>
            <w:tcW w:w="4785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ОТП Банк</w:t>
            </w:r>
          </w:p>
        </w:tc>
        <w:tc>
          <w:tcPr>
            <w:tcW w:w="4786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74,03</w:t>
            </w:r>
          </w:p>
        </w:tc>
      </w:tr>
      <w:tr w:rsidR="00F46A95" w:rsidRPr="00DF1BE3" w:rsidTr="009E6394">
        <w:tc>
          <w:tcPr>
            <w:tcW w:w="4785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ЮниКредит Банк</w:t>
            </w:r>
          </w:p>
        </w:tc>
        <w:tc>
          <w:tcPr>
            <w:tcW w:w="4786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73,89</w:t>
            </w:r>
          </w:p>
        </w:tc>
      </w:tr>
      <w:tr w:rsidR="00F46A95" w:rsidRPr="00DF1BE3" w:rsidTr="009E6394">
        <w:tc>
          <w:tcPr>
            <w:tcW w:w="4785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Альфа-Банк</w:t>
            </w:r>
          </w:p>
        </w:tc>
        <w:tc>
          <w:tcPr>
            <w:tcW w:w="4786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72,48</w:t>
            </w:r>
          </w:p>
        </w:tc>
      </w:tr>
      <w:tr w:rsidR="00F46A95" w:rsidRPr="00DF1BE3" w:rsidTr="009E6394">
        <w:tc>
          <w:tcPr>
            <w:tcW w:w="4785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Банк Москвы</w:t>
            </w:r>
          </w:p>
        </w:tc>
        <w:tc>
          <w:tcPr>
            <w:tcW w:w="4786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71,56</w:t>
            </w:r>
          </w:p>
        </w:tc>
      </w:tr>
      <w:tr w:rsidR="00F46A95" w:rsidRPr="00DF1BE3" w:rsidTr="009E6394">
        <w:tc>
          <w:tcPr>
            <w:tcW w:w="4785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Сбербанк России</w:t>
            </w:r>
          </w:p>
        </w:tc>
        <w:tc>
          <w:tcPr>
            <w:tcW w:w="4786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70,83</w:t>
            </w:r>
          </w:p>
        </w:tc>
      </w:tr>
      <w:tr w:rsidR="00F46A95" w:rsidRPr="00DF1BE3" w:rsidTr="009E6394">
        <w:tc>
          <w:tcPr>
            <w:tcW w:w="4785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«Ак Барс»</w:t>
            </w:r>
          </w:p>
        </w:tc>
        <w:tc>
          <w:tcPr>
            <w:tcW w:w="4786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70,18</w:t>
            </w:r>
          </w:p>
        </w:tc>
      </w:tr>
      <w:tr w:rsidR="00F46A95" w:rsidRPr="00DF1BE3" w:rsidTr="009E6394">
        <w:tc>
          <w:tcPr>
            <w:tcW w:w="4785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ВТБ 24</w:t>
            </w:r>
          </w:p>
        </w:tc>
        <w:tc>
          <w:tcPr>
            <w:tcW w:w="4786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69,76</w:t>
            </w:r>
          </w:p>
        </w:tc>
      </w:tr>
      <w:tr w:rsidR="00F46A95" w:rsidRPr="00DF1BE3" w:rsidTr="009E6394">
        <w:tc>
          <w:tcPr>
            <w:tcW w:w="4785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Промсвязьбанк</w:t>
            </w:r>
          </w:p>
        </w:tc>
        <w:tc>
          <w:tcPr>
            <w:tcW w:w="4786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69,32</w:t>
            </w:r>
          </w:p>
        </w:tc>
      </w:tr>
      <w:tr w:rsidR="00F46A95" w:rsidRPr="00DF1BE3" w:rsidTr="009E6394">
        <w:tc>
          <w:tcPr>
            <w:tcW w:w="4785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«Открытие»</w:t>
            </w:r>
          </w:p>
        </w:tc>
        <w:tc>
          <w:tcPr>
            <w:tcW w:w="4786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68,6</w:t>
            </w:r>
          </w:p>
        </w:tc>
      </w:tr>
      <w:tr w:rsidR="00F46A95" w:rsidRPr="00DF1BE3" w:rsidTr="009E6394">
        <w:tc>
          <w:tcPr>
            <w:tcW w:w="4785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Росбанк</w:t>
            </w:r>
          </w:p>
        </w:tc>
        <w:tc>
          <w:tcPr>
            <w:tcW w:w="4786" w:type="dxa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68,42</w:t>
            </w:r>
          </w:p>
        </w:tc>
      </w:tr>
    </w:tbl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Лучшими признаны сайты банков ОТП Банк, ЮниКредит Банк, Альфа-Банк, Банк Москвы и Сбербанка России.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Итоги рейтинга Retail Bank Rank наглядно показывают, что качество сайта далеко не всегда коррелирует с масштабом кредитной организации или силой ее бренда. Например, ЮниКредит Банк второй год подряд находится в топе рейтинга, хотя по совокупности депозитов и кредитов физических лиц занимает лишь 17-ое место.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>Подводя итоги выше изученного необходимо отметить, что наиболее распространенным и повсеместно применяемым методом определения конкуренции на рынке банковских услуг, в том числе и антимонопольными органами, остается структурный метод, базирующийся на использовании коэффициентов, выявляющих степень концентрации продавцов в отрасли, долей рынка крупных банков.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 Оценка же конкурентоспособности экономического субъекта проводится путем присвоения ему рейтинга - инструмента оценки финансового (и не только) состояния коммерческого банка, отрасли либо государства. Рейтинг стал ключевым критерием при разработке Базельским комитетом новых подходов к управлению банковскими рисками при оценке кредитоспособности заемщиков и уровня устойчивости кредитных организаций.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В результате проведенного исследования конкурентоспособности и конкурентных преимуществ российских банков на современном этапе развития </w:t>
      </w:r>
      <w:r>
        <w:rPr>
          <w:rFonts w:ascii="Times New Roman" w:hAnsi="Times New Roman"/>
          <w:sz w:val="24"/>
          <w:szCs w:val="24"/>
          <w:lang w:eastAsia="ru-RU"/>
        </w:rPr>
        <w:t xml:space="preserve">автором 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предлагается следующая классификация конкурентных преимуществ коммерческих банков  (таб. </w:t>
      </w:r>
      <w:r>
        <w:rPr>
          <w:rFonts w:ascii="Times New Roman" w:hAnsi="Times New Roman"/>
          <w:sz w:val="24"/>
          <w:szCs w:val="24"/>
          <w:lang w:eastAsia="ru-RU"/>
        </w:rPr>
        <w:t>7</w:t>
      </w:r>
      <w:r w:rsidRPr="009D2ACD">
        <w:rPr>
          <w:rFonts w:ascii="Times New Roman" w:hAnsi="Times New Roman"/>
          <w:sz w:val="24"/>
          <w:szCs w:val="24"/>
          <w:lang w:eastAsia="ru-RU"/>
        </w:rPr>
        <w:t>).</w:t>
      </w: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Таб. 7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Конкурентные преимущества российских банков на современном этапе развития.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7"/>
        <w:gridCol w:w="1103"/>
        <w:gridCol w:w="11"/>
        <w:gridCol w:w="844"/>
        <w:gridCol w:w="708"/>
        <w:gridCol w:w="289"/>
        <w:gridCol w:w="563"/>
        <w:gridCol w:w="567"/>
        <w:gridCol w:w="569"/>
        <w:gridCol w:w="147"/>
        <w:gridCol w:w="419"/>
        <w:gridCol w:w="572"/>
        <w:gridCol w:w="138"/>
        <w:gridCol w:w="484"/>
        <w:gridCol w:w="511"/>
        <w:gridCol w:w="33"/>
        <w:gridCol w:w="544"/>
        <w:gridCol w:w="605"/>
        <w:gridCol w:w="84"/>
        <w:gridCol w:w="683"/>
      </w:tblGrid>
      <w:tr w:rsidR="00F46A95" w:rsidRPr="00DF1BE3" w:rsidTr="009E6394">
        <w:tc>
          <w:tcPr>
            <w:tcW w:w="5000" w:type="pct"/>
            <w:gridSpan w:val="20"/>
            <w:vAlign w:val="center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Экономические конкурентные преимущества</w:t>
            </w:r>
          </w:p>
        </w:tc>
      </w:tr>
      <w:tr w:rsidR="00F46A95" w:rsidRPr="00DF1BE3" w:rsidTr="009E6394">
        <w:tc>
          <w:tcPr>
            <w:tcW w:w="940" w:type="pct"/>
            <w:gridSpan w:val="2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Размеры банка</w:t>
            </w:r>
          </w:p>
        </w:tc>
        <w:tc>
          <w:tcPr>
            <w:tcW w:w="1558" w:type="pct"/>
            <w:gridSpan w:val="6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Надежность банка</w:t>
            </w:r>
          </w:p>
        </w:tc>
        <w:tc>
          <w:tcPr>
            <w:tcW w:w="1217" w:type="pct"/>
            <w:gridSpan w:val="6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Структура </w:t>
            </w: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активов и пассивов</w:t>
            </w:r>
          </w:p>
        </w:tc>
        <w:tc>
          <w:tcPr>
            <w:tcW w:w="568" w:type="pct"/>
            <w:gridSpan w:val="3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Прибыль</w:t>
            </w:r>
          </w:p>
        </w:tc>
        <w:tc>
          <w:tcPr>
            <w:tcW w:w="717" w:type="pct"/>
            <w:gridSpan w:val="3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Рентабельность</w:t>
            </w:r>
          </w:p>
        </w:tc>
      </w:tr>
      <w:tr w:rsidR="00F46A95" w:rsidRPr="00DF1BE3" w:rsidTr="009E6394">
        <w:trPr>
          <w:cantSplit/>
          <w:trHeight w:val="2519"/>
        </w:trPr>
        <w:tc>
          <w:tcPr>
            <w:tcW w:w="364" w:type="pct"/>
            <w:textDirection w:val="btLr"/>
          </w:tcPr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Размер активов</w:t>
            </w:r>
          </w:p>
        </w:tc>
        <w:tc>
          <w:tcPr>
            <w:tcW w:w="576" w:type="pct"/>
            <w:textDirection w:val="btLr"/>
          </w:tcPr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Размер собств.</w:t>
            </w:r>
          </w:p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капитала</w:t>
            </w:r>
          </w:p>
        </w:tc>
        <w:tc>
          <w:tcPr>
            <w:tcW w:w="447" w:type="pct"/>
            <w:gridSpan w:val="2"/>
            <w:textDirection w:val="btL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Достаточность капитала</w:t>
            </w:r>
          </w:p>
        </w:tc>
        <w:tc>
          <w:tcPr>
            <w:tcW w:w="370" w:type="pct"/>
            <w:textDirection w:val="btLr"/>
          </w:tcPr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Ликвидность</w:t>
            </w:r>
          </w:p>
        </w:tc>
        <w:tc>
          <w:tcPr>
            <w:tcW w:w="445" w:type="pct"/>
            <w:gridSpan w:val="2"/>
            <w:textDirection w:val="btLr"/>
          </w:tcPr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Кредитный риск</w:t>
            </w:r>
          </w:p>
        </w:tc>
        <w:tc>
          <w:tcPr>
            <w:tcW w:w="296" w:type="pct"/>
            <w:textDirection w:val="btLr"/>
          </w:tcPr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Рыночный риск</w:t>
            </w:r>
          </w:p>
        </w:tc>
        <w:tc>
          <w:tcPr>
            <w:tcW w:w="297" w:type="pct"/>
            <w:textDirection w:val="btLr"/>
          </w:tcPr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Кредиты</w:t>
            </w:r>
          </w:p>
        </w:tc>
        <w:tc>
          <w:tcPr>
            <w:tcW w:w="296" w:type="pct"/>
            <w:gridSpan w:val="2"/>
            <w:textDirection w:val="btLr"/>
          </w:tcPr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Инвестиции</w:t>
            </w:r>
          </w:p>
        </w:tc>
        <w:tc>
          <w:tcPr>
            <w:tcW w:w="371" w:type="pct"/>
            <w:gridSpan w:val="2"/>
            <w:textDirection w:val="btL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Депозиты физ. лиц</w:t>
            </w:r>
          </w:p>
        </w:tc>
        <w:tc>
          <w:tcPr>
            <w:tcW w:w="253" w:type="pct"/>
            <w:textDirection w:val="btL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депозиты юр. лиц</w:t>
            </w:r>
          </w:p>
        </w:tc>
        <w:tc>
          <w:tcPr>
            <w:tcW w:w="284" w:type="pct"/>
            <w:gridSpan w:val="2"/>
            <w:textDirection w:val="btL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Процентные  доходы</w:t>
            </w:r>
          </w:p>
        </w:tc>
        <w:tc>
          <w:tcPr>
            <w:tcW w:w="284" w:type="pct"/>
            <w:textDirection w:val="btL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Комиссионные  доходы</w:t>
            </w:r>
          </w:p>
        </w:tc>
        <w:tc>
          <w:tcPr>
            <w:tcW w:w="360" w:type="pct"/>
            <w:gridSpan w:val="2"/>
            <w:textDirection w:val="btLr"/>
          </w:tcPr>
          <w:p w:rsidR="00F46A95" w:rsidRPr="00804E70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804E70">
              <w:rPr>
                <w:rFonts w:ascii="Times New Roman" w:hAnsi="Times New Roman"/>
                <w:sz w:val="24"/>
                <w:szCs w:val="24"/>
                <w:lang w:eastAsia="ru-RU"/>
              </w:rPr>
              <w:t>бщая</w:t>
            </w:r>
          </w:p>
        </w:tc>
        <w:tc>
          <w:tcPr>
            <w:tcW w:w="357" w:type="pct"/>
            <w:textDirection w:val="btLr"/>
          </w:tcPr>
          <w:p w:rsidR="00F46A95" w:rsidRPr="00804E70" w:rsidRDefault="00F46A95" w:rsidP="00804E70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04E70">
              <w:rPr>
                <w:rFonts w:ascii="Times New Roman" w:hAnsi="Times New Roman"/>
                <w:sz w:val="24"/>
                <w:szCs w:val="24"/>
                <w:lang w:eastAsia="ru-RU"/>
              </w:rPr>
              <w:t>Активов,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04E70">
              <w:rPr>
                <w:rFonts w:ascii="Times New Roman" w:hAnsi="Times New Roman"/>
                <w:sz w:val="24"/>
                <w:szCs w:val="24"/>
                <w:lang w:eastAsia="ru-RU"/>
              </w:rPr>
              <w:t>капитала</w:t>
            </w:r>
          </w:p>
        </w:tc>
      </w:tr>
      <w:tr w:rsidR="00F46A95" w:rsidRPr="00DF1BE3" w:rsidTr="009E6394">
        <w:trPr>
          <w:cantSplit/>
          <w:trHeight w:val="557"/>
        </w:trPr>
        <w:tc>
          <w:tcPr>
            <w:tcW w:w="5000" w:type="pct"/>
            <w:gridSpan w:val="20"/>
            <w:vAlign w:val="center"/>
          </w:tcPr>
          <w:p w:rsidR="00F46A95" w:rsidRPr="00DF1BE3" w:rsidRDefault="00F46A95" w:rsidP="0051474D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Не экономические конкурентные преимущества</w:t>
            </w:r>
          </w:p>
        </w:tc>
      </w:tr>
      <w:tr w:rsidR="00F46A95" w:rsidRPr="00DF1BE3" w:rsidTr="009E6394">
        <w:tc>
          <w:tcPr>
            <w:tcW w:w="2872" w:type="pct"/>
            <w:gridSpan w:val="10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Имидж</w:t>
            </w:r>
          </w:p>
        </w:tc>
        <w:tc>
          <w:tcPr>
            <w:tcW w:w="1110" w:type="pct"/>
            <w:gridSpan w:val="5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Доступность в регионах</w:t>
            </w:r>
          </w:p>
        </w:tc>
        <w:tc>
          <w:tcPr>
            <w:tcW w:w="1018" w:type="pct"/>
            <w:gridSpan w:val="5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Представленность  в Интернете</w:t>
            </w:r>
          </w:p>
        </w:tc>
      </w:tr>
      <w:tr w:rsidR="00F46A95" w:rsidRPr="00DF1BE3" w:rsidTr="009E6394">
        <w:trPr>
          <w:cantSplit/>
          <w:trHeight w:val="1978"/>
        </w:trPr>
        <w:tc>
          <w:tcPr>
            <w:tcW w:w="946" w:type="pct"/>
            <w:gridSpan w:val="3"/>
            <w:textDirection w:val="btLr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узнаваемость</w:t>
            </w:r>
          </w:p>
        </w:tc>
        <w:tc>
          <w:tcPr>
            <w:tcW w:w="962" w:type="pct"/>
            <w:gridSpan w:val="3"/>
            <w:textDirection w:val="btLr"/>
            <w:vAlign w:val="center"/>
          </w:tcPr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известность</w:t>
            </w:r>
          </w:p>
        </w:tc>
        <w:tc>
          <w:tcPr>
            <w:tcW w:w="964" w:type="pct"/>
            <w:gridSpan w:val="4"/>
            <w:textDirection w:val="btLr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Народный рейтинг</w:t>
            </w:r>
          </w:p>
        </w:tc>
        <w:tc>
          <w:tcPr>
            <w:tcW w:w="518" w:type="pct"/>
            <w:gridSpan w:val="2"/>
            <w:textDirection w:val="btLr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Кол-во банк.</w:t>
            </w:r>
          </w:p>
          <w:p w:rsidR="00F46A95" w:rsidRPr="00DF1BE3" w:rsidRDefault="00F46A95" w:rsidP="0051474D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офисов</w:t>
            </w:r>
          </w:p>
        </w:tc>
        <w:tc>
          <w:tcPr>
            <w:tcW w:w="592" w:type="pct"/>
            <w:gridSpan w:val="3"/>
            <w:textDirection w:val="btLr"/>
            <w:vAlign w:val="center"/>
          </w:tcPr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Наличие</w:t>
            </w:r>
          </w:p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банк. офисов</w:t>
            </w:r>
          </w:p>
          <w:p w:rsidR="00F46A95" w:rsidRPr="00DF1BE3" w:rsidRDefault="00F46A95" w:rsidP="0051474D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в регионах</w:t>
            </w:r>
          </w:p>
        </w:tc>
        <w:tc>
          <w:tcPr>
            <w:tcW w:w="617" w:type="pct"/>
            <w:gridSpan w:val="3"/>
            <w:textDirection w:val="btLr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Наличие сайта в Интернете</w:t>
            </w:r>
          </w:p>
        </w:tc>
        <w:tc>
          <w:tcPr>
            <w:tcW w:w="401" w:type="pct"/>
            <w:gridSpan w:val="2"/>
            <w:textDirection w:val="btLr"/>
            <w:vAlign w:val="center"/>
          </w:tcPr>
          <w:p w:rsidR="00F46A95" w:rsidRPr="00DF1BE3" w:rsidRDefault="00F46A95" w:rsidP="005147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BE3">
              <w:rPr>
                <w:rFonts w:ascii="Times New Roman" w:hAnsi="Times New Roman"/>
                <w:sz w:val="24"/>
                <w:szCs w:val="24"/>
                <w:lang w:eastAsia="ru-RU"/>
              </w:rPr>
              <w:t>Качество сайта</w:t>
            </w:r>
          </w:p>
        </w:tc>
      </w:tr>
    </w:tbl>
    <w:p w:rsidR="00F46A95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46A95" w:rsidRPr="009D2ACD" w:rsidRDefault="00F46A95" w:rsidP="00FE48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2ACD">
        <w:rPr>
          <w:rFonts w:ascii="Times New Roman" w:hAnsi="Times New Roman"/>
          <w:sz w:val="24"/>
          <w:szCs w:val="24"/>
          <w:lang w:eastAsia="ru-RU"/>
        </w:rPr>
        <w:t xml:space="preserve">Предложенная </w:t>
      </w:r>
      <w:r>
        <w:rPr>
          <w:rFonts w:ascii="Times New Roman" w:hAnsi="Times New Roman"/>
          <w:sz w:val="24"/>
          <w:szCs w:val="24"/>
          <w:lang w:eastAsia="ru-RU"/>
        </w:rPr>
        <w:t>автором</w:t>
      </w:r>
      <w:r w:rsidRPr="009D2ACD">
        <w:rPr>
          <w:rFonts w:ascii="Times New Roman" w:hAnsi="Times New Roman"/>
          <w:sz w:val="24"/>
          <w:szCs w:val="24"/>
          <w:lang w:eastAsia="ru-RU"/>
        </w:rPr>
        <w:t xml:space="preserve">  система показателей позиционирования коммерческих банков в современной российской экономике дает возможность оценить с большей долей вероятности перспективы развития сектора отечественных банковских посредников в условиях нарастающей конкуренции со стороны зарубежных банков.</w:t>
      </w:r>
    </w:p>
    <w:p w:rsidR="00F46A95" w:rsidRDefault="00F46A95" w:rsidP="00804E7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04E70">
        <w:rPr>
          <w:rFonts w:ascii="Times New Roman" w:hAnsi="Times New Roman"/>
          <w:b/>
          <w:sz w:val="24"/>
          <w:szCs w:val="24"/>
          <w:lang w:eastAsia="ru-RU"/>
        </w:rPr>
        <w:t>Список литературы</w:t>
      </w:r>
    </w:p>
    <w:p w:rsidR="00F46A95" w:rsidRPr="00804E70" w:rsidRDefault="00F46A95" w:rsidP="00804E70">
      <w:pPr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804E70">
        <w:rPr>
          <w:rFonts w:ascii="Times New Roman" w:hAnsi="Times New Roman"/>
          <w:sz w:val="24"/>
          <w:szCs w:val="24"/>
          <w:lang w:eastAsia="ru-RU"/>
        </w:rPr>
        <w:t>Рыбин Е. В. Пути повышения конкурентоспособности российских банков. Москва: Финансы и статистика, 2008. 206 С.</w:t>
      </w:r>
    </w:p>
    <w:p w:rsidR="00F46A95" w:rsidRPr="00804E70" w:rsidRDefault="00F46A95" w:rsidP="00804E70">
      <w:pPr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804E70">
        <w:rPr>
          <w:rFonts w:ascii="Times New Roman" w:hAnsi="Times New Roman"/>
          <w:sz w:val="24"/>
          <w:szCs w:val="24"/>
          <w:lang w:eastAsia="ru-RU"/>
        </w:rPr>
        <w:t>www.forbes.com</w:t>
      </w:r>
    </w:p>
    <w:p w:rsidR="00F46A95" w:rsidRPr="00951923" w:rsidRDefault="00F46A95" w:rsidP="00951923">
      <w:pPr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951923">
        <w:rPr>
          <w:rFonts w:ascii="Times New Roman" w:hAnsi="Times New Roman"/>
          <w:sz w:val="24"/>
          <w:szCs w:val="24"/>
          <w:lang w:eastAsia="ru-RU"/>
        </w:rPr>
        <w:t>Иноземцева А., Дементьева С., Дударева Е. Англичане проверили российские банки на слабость// Коммерсант. – 2006.-с. 15</w:t>
      </w:r>
    </w:p>
    <w:p w:rsidR="00F46A95" w:rsidRPr="00951923" w:rsidRDefault="00F46A95" w:rsidP="00951923">
      <w:pPr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951923">
        <w:rPr>
          <w:rFonts w:ascii="Times New Roman" w:hAnsi="Times New Roman"/>
          <w:sz w:val="24"/>
          <w:szCs w:val="24"/>
          <w:lang w:eastAsia="ru-RU"/>
        </w:rPr>
        <w:t>А.Г. Аганбян, О новой роли банков в финансировании послекризисного социально-экономического развития России (субъективные заметки), Деньги и кредит №1, 2011г., с.27-36.</w:t>
      </w:r>
    </w:p>
    <w:p w:rsidR="00F46A95" w:rsidRPr="005F7A01" w:rsidRDefault="00F46A95" w:rsidP="005F7A01">
      <w:pPr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5F7A01">
        <w:rPr>
          <w:rFonts w:ascii="Times New Roman" w:hAnsi="Times New Roman"/>
          <w:sz w:val="24"/>
          <w:szCs w:val="24"/>
          <w:lang w:eastAsia="ru-RU"/>
        </w:rPr>
        <w:t>Российская газета Федеральный выпуск № 4872 от 20 марта 2009 г.</w:t>
      </w:r>
    </w:p>
    <w:p w:rsidR="00F46A95" w:rsidRPr="005F7A01" w:rsidRDefault="00F46A95" w:rsidP="005F7A01">
      <w:pPr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5F7A01">
        <w:rPr>
          <w:rFonts w:ascii="Times New Roman" w:hAnsi="Times New Roman"/>
          <w:sz w:val="24"/>
          <w:szCs w:val="24"/>
          <w:lang w:eastAsia="ru-RU"/>
        </w:rPr>
        <w:t>www.BCGroop.com</w:t>
      </w:r>
    </w:p>
    <w:p w:rsidR="00F46A95" w:rsidRPr="00804E70" w:rsidRDefault="00F46A95" w:rsidP="005F7A01">
      <w:pPr>
        <w:spacing w:after="0" w:line="240" w:lineRule="auto"/>
        <w:ind w:left="106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46A95" w:rsidRPr="00315A75" w:rsidRDefault="00F46A95">
      <w:r w:rsidRPr="00315A75">
        <w:t>Колесов П.Ф. Конкурентоспособность и конкурентные преимущества российских банков на современном этапе развития. // Экономика и менеджмент инновационных технологий. – Май, 2012. [Электронный ресурс]. URL: http://ekonomika.snauka.ru/2012/05/909</w:t>
      </w:r>
    </w:p>
    <w:sectPr w:rsidR="00F46A95" w:rsidRPr="00315A75" w:rsidSect="00B178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44D7B"/>
    <w:multiLevelType w:val="hybridMultilevel"/>
    <w:tmpl w:val="4920B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D5C77"/>
    <w:multiLevelType w:val="hybridMultilevel"/>
    <w:tmpl w:val="9FAAAC62"/>
    <w:lvl w:ilvl="0" w:tplc="545A8BE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1CED746B"/>
    <w:multiLevelType w:val="hybridMultilevel"/>
    <w:tmpl w:val="0DD888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2A1E2D"/>
    <w:multiLevelType w:val="hybridMultilevel"/>
    <w:tmpl w:val="A9E8C22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62C27CC7"/>
    <w:multiLevelType w:val="hybridMultilevel"/>
    <w:tmpl w:val="4718BC0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797B3A15"/>
    <w:multiLevelType w:val="hybridMultilevel"/>
    <w:tmpl w:val="07882AC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6DD8"/>
    <w:rsid w:val="00017E70"/>
    <w:rsid w:val="00102B78"/>
    <w:rsid w:val="001E6DD8"/>
    <w:rsid w:val="00231E10"/>
    <w:rsid w:val="002A49E3"/>
    <w:rsid w:val="002B5D48"/>
    <w:rsid w:val="00315A75"/>
    <w:rsid w:val="00395ADD"/>
    <w:rsid w:val="0051474D"/>
    <w:rsid w:val="005F7A01"/>
    <w:rsid w:val="006A1D4C"/>
    <w:rsid w:val="007500F0"/>
    <w:rsid w:val="007707DE"/>
    <w:rsid w:val="00787E74"/>
    <w:rsid w:val="007A2F62"/>
    <w:rsid w:val="00804E70"/>
    <w:rsid w:val="008857F3"/>
    <w:rsid w:val="008A7E6D"/>
    <w:rsid w:val="008C67DF"/>
    <w:rsid w:val="00951923"/>
    <w:rsid w:val="009D2ACD"/>
    <w:rsid w:val="009E6394"/>
    <w:rsid w:val="00A236F7"/>
    <w:rsid w:val="00AE01C1"/>
    <w:rsid w:val="00AF10A4"/>
    <w:rsid w:val="00B17801"/>
    <w:rsid w:val="00B628F1"/>
    <w:rsid w:val="00BC5E51"/>
    <w:rsid w:val="00C16A94"/>
    <w:rsid w:val="00C71678"/>
    <w:rsid w:val="00C90DE8"/>
    <w:rsid w:val="00D16761"/>
    <w:rsid w:val="00DB3F41"/>
    <w:rsid w:val="00DF1BE3"/>
    <w:rsid w:val="00F14178"/>
    <w:rsid w:val="00F46A95"/>
    <w:rsid w:val="00FE4892"/>
    <w:rsid w:val="00FE4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DD8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rsid w:val="001E6DD8"/>
    <w:rPr>
      <w:rFonts w:cs="Times New Roman"/>
      <w:vertAlign w:val="superscript"/>
    </w:rPr>
  </w:style>
  <w:style w:type="paragraph" w:customStyle="1" w:styleId="1">
    <w:name w:val="Абзац списка1"/>
    <w:basedOn w:val="Normal"/>
    <w:uiPriority w:val="99"/>
    <w:rsid w:val="001E6D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1E6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6D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pavelkol@hot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103</TotalTime>
  <Pages>12</Pages>
  <Words>4482</Words>
  <Characters>25551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15</cp:revision>
  <dcterms:created xsi:type="dcterms:W3CDTF">2012-05-09T14:38:00Z</dcterms:created>
  <dcterms:modified xsi:type="dcterms:W3CDTF">2012-05-22T17:24:00Z</dcterms:modified>
</cp:coreProperties>
</file>